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CE4" w:rsidRDefault="00DC555F">
      <w:pPr>
        <w:rPr>
          <w:b/>
        </w:rPr>
      </w:pPr>
      <w:bookmarkStart w:id="0" w:name="_GoBack"/>
      <w:bookmarkEnd w:id="0"/>
      <w:r>
        <w:rPr>
          <w:b/>
        </w:rPr>
        <w:t xml:space="preserve">S1 Table. </w:t>
      </w:r>
      <w:proofErr w:type="gramStart"/>
      <w:r>
        <w:rPr>
          <w:b/>
        </w:rPr>
        <w:t>Rate of physical decline by baseline impairment status based on gait vs. non-gait components (full models)</w:t>
      </w:r>
      <w:r w:rsidR="000E188E">
        <w:rPr>
          <w:b/>
        </w:rPr>
        <w:t>.</w:t>
      </w:r>
      <w:proofErr w:type="gramEnd"/>
    </w:p>
    <w:p w:rsidR="000E188E" w:rsidRDefault="000E188E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6"/>
        <w:gridCol w:w="1421"/>
        <w:gridCol w:w="1454"/>
        <w:gridCol w:w="1421"/>
        <w:gridCol w:w="1454"/>
      </w:tblGrid>
      <w:tr w:rsidR="00920CE4">
        <w:trPr>
          <w:cantSplit/>
        </w:trPr>
        <w:tc>
          <w:tcPr>
            <w:tcW w:w="3638" w:type="dxa"/>
            <w:vMerge w:val="restart"/>
          </w:tcPr>
          <w:p w:rsidR="00920CE4" w:rsidRDefault="00920CE4">
            <w:pPr>
              <w:rPr>
                <w:b/>
              </w:rPr>
            </w:pPr>
          </w:p>
        </w:tc>
        <w:tc>
          <w:tcPr>
            <w:tcW w:w="3294" w:type="dxa"/>
            <w:gridSpan w:val="2"/>
          </w:tcPr>
          <w:p w:rsidR="00920CE4" w:rsidRDefault="00DC555F">
            <w:pPr>
              <w:jc w:val="center"/>
              <w:rPr>
                <w:b/>
              </w:rPr>
            </w:pPr>
            <w:r>
              <w:rPr>
                <w:b/>
              </w:rPr>
              <w:t>Gait/balance items</w:t>
            </w:r>
          </w:p>
        </w:tc>
        <w:tc>
          <w:tcPr>
            <w:tcW w:w="3294" w:type="dxa"/>
            <w:gridSpan w:val="2"/>
          </w:tcPr>
          <w:p w:rsidR="00920CE4" w:rsidRDefault="00DC555F">
            <w:pPr>
              <w:jc w:val="center"/>
              <w:rPr>
                <w:b/>
              </w:rPr>
            </w:pPr>
            <w:r>
              <w:rPr>
                <w:b/>
              </w:rPr>
              <w:t>Non-gait items</w:t>
            </w:r>
          </w:p>
        </w:tc>
      </w:tr>
      <w:tr w:rsidR="00920CE4">
        <w:trPr>
          <w:cantSplit/>
        </w:trPr>
        <w:tc>
          <w:tcPr>
            <w:tcW w:w="3638" w:type="dxa"/>
            <w:vMerge/>
          </w:tcPr>
          <w:p w:rsidR="00920CE4" w:rsidRDefault="00920CE4"/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Slope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P value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Slope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P value</w:t>
            </w:r>
          </w:p>
        </w:tc>
      </w:tr>
      <w:tr w:rsidR="00920CE4">
        <w:tc>
          <w:tcPr>
            <w:tcW w:w="3638" w:type="dxa"/>
          </w:tcPr>
          <w:p w:rsidR="00920CE4" w:rsidRDefault="00DC555F">
            <w:pPr>
              <w:rPr>
                <w:b/>
              </w:rPr>
            </w:pPr>
            <w:r>
              <w:rPr>
                <w:b/>
              </w:rPr>
              <w:t>Intercept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 xml:space="preserve">8.842 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&lt;0.001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3.178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&lt;0.001</w:t>
            </w:r>
          </w:p>
        </w:tc>
      </w:tr>
      <w:tr w:rsidR="00920CE4">
        <w:tc>
          <w:tcPr>
            <w:tcW w:w="3638" w:type="dxa"/>
          </w:tcPr>
          <w:p w:rsidR="00920CE4" w:rsidRDefault="00DC555F">
            <w:pPr>
              <w:rPr>
                <w:b/>
              </w:rPr>
            </w:pPr>
            <w:r>
              <w:rPr>
                <w:b/>
              </w:rPr>
              <w:t>Overall decline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-0.537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&lt;0.001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-0.186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&lt;0.001</w:t>
            </w:r>
          </w:p>
        </w:tc>
      </w:tr>
      <w:tr w:rsidR="00920CE4">
        <w:tc>
          <w:tcPr>
            <w:tcW w:w="3638" w:type="dxa"/>
          </w:tcPr>
          <w:p w:rsidR="00920CE4" w:rsidRDefault="00DC555F">
            <w:pPr>
              <w:rPr>
                <w:b/>
              </w:rPr>
            </w:pPr>
            <w:r>
              <w:rPr>
                <w:b/>
              </w:rPr>
              <w:t>Baseline effects</w:t>
            </w:r>
          </w:p>
        </w:tc>
        <w:tc>
          <w:tcPr>
            <w:tcW w:w="1647" w:type="dxa"/>
          </w:tcPr>
          <w:p w:rsidR="00920CE4" w:rsidRDefault="00920CE4">
            <w:pPr>
              <w:jc w:val="center"/>
            </w:pPr>
          </w:p>
        </w:tc>
        <w:tc>
          <w:tcPr>
            <w:tcW w:w="1647" w:type="dxa"/>
          </w:tcPr>
          <w:p w:rsidR="00920CE4" w:rsidRDefault="00920CE4">
            <w:pPr>
              <w:jc w:val="center"/>
            </w:pPr>
          </w:p>
        </w:tc>
        <w:tc>
          <w:tcPr>
            <w:tcW w:w="1647" w:type="dxa"/>
          </w:tcPr>
          <w:p w:rsidR="00920CE4" w:rsidRDefault="00920CE4">
            <w:pPr>
              <w:jc w:val="center"/>
            </w:pPr>
          </w:p>
        </w:tc>
        <w:tc>
          <w:tcPr>
            <w:tcW w:w="1647" w:type="dxa"/>
          </w:tcPr>
          <w:p w:rsidR="00920CE4" w:rsidRDefault="00920CE4">
            <w:pPr>
              <w:jc w:val="center"/>
            </w:pPr>
          </w:p>
        </w:tc>
      </w:tr>
      <w:tr w:rsidR="00920CE4">
        <w:tc>
          <w:tcPr>
            <w:tcW w:w="3638" w:type="dxa"/>
          </w:tcPr>
          <w:p w:rsidR="00920CE4" w:rsidRDefault="00DC555F">
            <w:r>
              <w:t xml:space="preserve">   NI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Ref</w:t>
            </w:r>
          </w:p>
        </w:tc>
        <w:tc>
          <w:tcPr>
            <w:tcW w:w="1647" w:type="dxa"/>
          </w:tcPr>
          <w:p w:rsidR="00920CE4" w:rsidRDefault="00920CE4">
            <w:pPr>
              <w:jc w:val="center"/>
            </w:pP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Ref</w:t>
            </w:r>
          </w:p>
        </w:tc>
        <w:tc>
          <w:tcPr>
            <w:tcW w:w="1647" w:type="dxa"/>
          </w:tcPr>
          <w:p w:rsidR="00920CE4" w:rsidRDefault="00920CE4">
            <w:pPr>
              <w:jc w:val="center"/>
            </w:pPr>
          </w:p>
        </w:tc>
      </w:tr>
      <w:tr w:rsidR="00920CE4">
        <w:tc>
          <w:tcPr>
            <w:tcW w:w="3638" w:type="dxa"/>
          </w:tcPr>
          <w:p w:rsidR="00920CE4" w:rsidRDefault="00DC555F">
            <w:r>
              <w:t xml:space="preserve">   PI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0.215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0.503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-0.065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0.399</w:t>
            </w:r>
          </w:p>
        </w:tc>
      </w:tr>
      <w:tr w:rsidR="00920CE4">
        <w:tc>
          <w:tcPr>
            <w:tcW w:w="3638" w:type="dxa"/>
          </w:tcPr>
          <w:p w:rsidR="00920CE4" w:rsidRDefault="00DC555F">
            <w:r>
              <w:t xml:space="preserve">   CI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-0.372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0.190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-0.157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0.205</w:t>
            </w:r>
          </w:p>
        </w:tc>
      </w:tr>
      <w:tr w:rsidR="00920CE4">
        <w:tc>
          <w:tcPr>
            <w:tcW w:w="3638" w:type="dxa"/>
          </w:tcPr>
          <w:p w:rsidR="00920CE4" w:rsidRDefault="00DC555F">
            <w:r>
              <w:t xml:space="preserve">   CPI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-0.244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0.439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-0.664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&lt;0.001</w:t>
            </w:r>
          </w:p>
        </w:tc>
      </w:tr>
      <w:tr w:rsidR="00920CE4">
        <w:tc>
          <w:tcPr>
            <w:tcW w:w="3638" w:type="dxa"/>
          </w:tcPr>
          <w:p w:rsidR="00920CE4" w:rsidRDefault="00DC555F">
            <w:pPr>
              <w:rPr>
                <w:b/>
              </w:rPr>
            </w:pPr>
            <w:r>
              <w:rPr>
                <w:b/>
              </w:rPr>
              <w:t>Longitudinal effects</w:t>
            </w:r>
          </w:p>
        </w:tc>
        <w:tc>
          <w:tcPr>
            <w:tcW w:w="1647" w:type="dxa"/>
          </w:tcPr>
          <w:p w:rsidR="00920CE4" w:rsidRDefault="00920CE4">
            <w:pPr>
              <w:jc w:val="center"/>
            </w:pPr>
          </w:p>
        </w:tc>
        <w:tc>
          <w:tcPr>
            <w:tcW w:w="1647" w:type="dxa"/>
          </w:tcPr>
          <w:p w:rsidR="00920CE4" w:rsidRDefault="00920CE4">
            <w:pPr>
              <w:jc w:val="center"/>
            </w:pPr>
          </w:p>
        </w:tc>
        <w:tc>
          <w:tcPr>
            <w:tcW w:w="1647" w:type="dxa"/>
          </w:tcPr>
          <w:p w:rsidR="00920CE4" w:rsidRDefault="00920CE4">
            <w:pPr>
              <w:jc w:val="center"/>
            </w:pPr>
          </w:p>
        </w:tc>
        <w:tc>
          <w:tcPr>
            <w:tcW w:w="1647" w:type="dxa"/>
          </w:tcPr>
          <w:p w:rsidR="00920CE4" w:rsidRDefault="00920CE4">
            <w:pPr>
              <w:jc w:val="center"/>
            </w:pPr>
          </w:p>
        </w:tc>
      </w:tr>
      <w:tr w:rsidR="00920CE4">
        <w:tc>
          <w:tcPr>
            <w:tcW w:w="3638" w:type="dxa"/>
          </w:tcPr>
          <w:p w:rsidR="00920CE4" w:rsidRDefault="00DC555F">
            <w:r>
              <w:t xml:space="preserve">   NI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Ref</w:t>
            </w:r>
          </w:p>
        </w:tc>
        <w:tc>
          <w:tcPr>
            <w:tcW w:w="1647" w:type="dxa"/>
          </w:tcPr>
          <w:p w:rsidR="00920CE4" w:rsidRDefault="00920CE4">
            <w:pPr>
              <w:jc w:val="center"/>
            </w:pP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Ref</w:t>
            </w:r>
          </w:p>
        </w:tc>
        <w:tc>
          <w:tcPr>
            <w:tcW w:w="1647" w:type="dxa"/>
          </w:tcPr>
          <w:p w:rsidR="00920CE4" w:rsidRDefault="00920CE4">
            <w:pPr>
              <w:jc w:val="center"/>
            </w:pPr>
          </w:p>
        </w:tc>
      </w:tr>
      <w:tr w:rsidR="00920CE4">
        <w:tc>
          <w:tcPr>
            <w:tcW w:w="3638" w:type="dxa"/>
          </w:tcPr>
          <w:p w:rsidR="00920CE4" w:rsidRDefault="00DC555F">
            <w:r>
              <w:t xml:space="preserve">   PI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-0.111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0.505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-0.005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0.947</w:t>
            </w:r>
          </w:p>
        </w:tc>
      </w:tr>
      <w:tr w:rsidR="00920CE4">
        <w:tc>
          <w:tcPr>
            <w:tcW w:w="3638" w:type="dxa"/>
          </w:tcPr>
          <w:p w:rsidR="00920CE4" w:rsidRDefault="00DC555F">
            <w:r>
              <w:t xml:space="preserve">   CI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-0.690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&lt;0.001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-0.475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&lt;0.001</w:t>
            </w:r>
          </w:p>
        </w:tc>
      </w:tr>
      <w:tr w:rsidR="00920CE4">
        <w:tc>
          <w:tcPr>
            <w:tcW w:w="3638" w:type="dxa"/>
          </w:tcPr>
          <w:p w:rsidR="00920CE4" w:rsidRDefault="00DC555F">
            <w:r>
              <w:t xml:space="preserve">   CPI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-0.617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&lt;0.001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-0.378</w:t>
            </w:r>
          </w:p>
        </w:tc>
        <w:tc>
          <w:tcPr>
            <w:tcW w:w="1647" w:type="dxa"/>
          </w:tcPr>
          <w:p w:rsidR="00920CE4" w:rsidRDefault="00DC555F">
            <w:pPr>
              <w:jc w:val="center"/>
            </w:pPr>
            <w:r>
              <w:t>&lt;0.001</w:t>
            </w:r>
          </w:p>
        </w:tc>
      </w:tr>
    </w:tbl>
    <w:p w:rsidR="00920CE4" w:rsidRDefault="00920CE4">
      <w:pPr>
        <w:rPr>
          <w:b/>
        </w:rPr>
      </w:pPr>
    </w:p>
    <w:p w:rsidR="00920CE4" w:rsidRDefault="00DC555F">
      <w:r>
        <w:rPr>
          <w:b/>
        </w:rPr>
        <w:t>Notes</w:t>
      </w:r>
      <w:r>
        <w:t>: Models are adjusted for age, gender, education, race, and baseline gait/non-gait performance; Baseline physically impairment based on gait/balance and non-gait items depending on what component of physical performance was assessed longitudinally; NI=not impaired, PI=physically impaired, CI=cognitively impaired, CPI=cognitively and physically impaired; Gait/balance items: lifting a book, picking up penny, turning in a complete circle, walking for 50ft, chair raises, and the Romberg balance test; Non-gait items: writing a sentence, simulating eating, and simulating dressing. Rates of decline in physical performance (both gait/balance and non-gait items) were higher in the CI and CPI groups than in the NI (reference) group. No significant differences were observed in the PI group.</w:t>
      </w:r>
    </w:p>
    <w:sectPr w:rsidR="00920CE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88E"/>
    <w:rsid w:val="000E188E"/>
    <w:rsid w:val="0091002F"/>
    <w:rsid w:val="00920CE4"/>
    <w:rsid w:val="00DC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S1</vt:lpstr>
    </vt:vector>
  </TitlesOfParts>
  <Company>Home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S1</dc:title>
  <dc:creator>MAGDA</dc:creator>
  <cp:lastModifiedBy>Potts, Nathaniel</cp:lastModifiedBy>
  <cp:revision>2</cp:revision>
  <dcterms:created xsi:type="dcterms:W3CDTF">2015-06-28T20:45:00Z</dcterms:created>
  <dcterms:modified xsi:type="dcterms:W3CDTF">2015-06-28T20:45:00Z</dcterms:modified>
</cp:coreProperties>
</file>