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3C8" w:rsidRDefault="004743C8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Additional file 1</w:t>
      </w:r>
    </w:p>
    <w:p w:rsidR="00A55026" w:rsidRDefault="007750B4">
      <w:pPr>
        <w:rPr>
          <w:rFonts w:ascii="Times New Roman" w:hAnsi="Times New Roman" w:cs="Times New Roman"/>
          <w:b/>
        </w:rPr>
      </w:pPr>
      <w:r w:rsidRPr="007750B4">
        <w:rPr>
          <w:rFonts w:ascii="Times New Roman" w:hAnsi="Times New Roman" w:cs="Times New Roman"/>
          <w:b/>
        </w:rPr>
        <w:t xml:space="preserve">Table </w:t>
      </w:r>
      <w:r w:rsidR="004743C8">
        <w:rPr>
          <w:rFonts w:ascii="Times New Roman" w:hAnsi="Times New Roman" w:cs="Times New Roman"/>
          <w:b/>
        </w:rPr>
        <w:t>S1</w:t>
      </w:r>
      <w:r w:rsidRPr="007750B4">
        <w:rPr>
          <w:rFonts w:ascii="Times New Roman" w:hAnsi="Times New Roman" w:cs="Times New Roman"/>
          <w:b/>
        </w:rPr>
        <w:t xml:space="preserve"> Dissemination and implementation research competencies by skill level</w:t>
      </w:r>
    </w:p>
    <w:tbl>
      <w:tblPr>
        <w:tblStyle w:val="TableGrid"/>
        <w:tblW w:w="11340" w:type="dxa"/>
        <w:tblInd w:w="-972" w:type="dxa"/>
        <w:tblLayout w:type="fixed"/>
        <w:tblLook w:val="04A0"/>
      </w:tblPr>
      <w:tblGrid>
        <w:gridCol w:w="4500"/>
        <w:gridCol w:w="1170"/>
        <w:gridCol w:w="1530"/>
        <w:gridCol w:w="1260"/>
        <w:gridCol w:w="990"/>
        <w:gridCol w:w="810"/>
        <w:gridCol w:w="1080"/>
      </w:tblGrid>
      <w:tr w:rsidR="00A55026" w:rsidRPr="00A55026" w:rsidTr="00A55026">
        <w:trPr>
          <w:trHeight w:val="12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55026">
              <w:rPr>
                <w:rFonts w:ascii="Times New Roman" w:hAnsi="Times New Roman" w:cs="Times New Roman"/>
                <w:b/>
              </w:rPr>
              <w:t xml:space="preserve">Competency 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55026">
              <w:rPr>
                <w:rFonts w:ascii="Times New Roman" w:hAnsi="Times New Roman" w:cs="Times New Roman"/>
                <w:b/>
              </w:rPr>
              <w:t>Beginner Expertise Mean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55026">
              <w:rPr>
                <w:rFonts w:ascii="Times New Roman" w:hAnsi="Times New Roman" w:cs="Times New Roman"/>
                <w:b/>
              </w:rPr>
              <w:t>Intermediate Expertise Mean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55026">
              <w:rPr>
                <w:rFonts w:ascii="Times New Roman" w:hAnsi="Times New Roman" w:cs="Times New Roman"/>
                <w:b/>
              </w:rPr>
              <w:t>Advanced Expertise Mean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55026">
              <w:rPr>
                <w:rFonts w:ascii="Times New Roman" w:hAnsi="Times New Roman" w:cs="Times New Roman"/>
                <w:b/>
              </w:rPr>
              <w:t>Overall Mean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55026">
              <w:rPr>
                <w:rFonts w:ascii="Times New Roman" w:hAnsi="Times New Roman" w:cs="Times New Roman"/>
                <w:b/>
              </w:rPr>
              <w:t>Std Error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55026">
              <w:rPr>
                <w:rFonts w:ascii="Times New Roman" w:hAnsi="Times New Roman" w:cs="Times New Roman"/>
                <w:b/>
              </w:rPr>
              <w:t>ANOVA Sig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Define and communicate D&amp;I research terminology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0.034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0.251</w:t>
            </w:r>
          </w:p>
        </w:tc>
      </w:tr>
      <w:tr w:rsidR="00A55026" w:rsidRPr="00A55026" w:rsidTr="00A55026">
        <w:trPr>
          <w:trHeight w:val="3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Define what is and what is not D&amp;I research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0.036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0.505</w:t>
            </w:r>
          </w:p>
        </w:tc>
      </w:tr>
      <w:tr w:rsidR="00A55026" w:rsidRPr="00A55026" w:rsidTr="00A55026">
        <w:trPr>
          <w:trHeight w:val="15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Describe the importance of incorporating the perspectives of different stakeholder groups (e.g., patient/family; employers, payers, healthcare settings, public organizations, community and policy makers)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1.21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1.27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0.042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0.803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Differentiate between D&amp;I research and other related areas, such as efficacy research and effectiveness research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1.29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0.043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0.426</w:t>
            </w:r>
          </w:p>
        </w:tc>
      </w:tr>
      <w:tr w:rsidR="00A55026" w:rsidRPr="00A55026" w:rsidTr="00A55026">
        <w:trPr>
          <w:trHeight w:val="3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Describe the concept and measurement of fidelity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1.33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0.049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0.337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Describe the core components of external validity and their relevance to D&amp;I research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1.39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1.33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1.32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0.053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0.57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Describe a range of D&amp;I strategies, models and frameworks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1.47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1.43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1.37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1.43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0.056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0.794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Articulate the strengths and weaknesses of participatory research in D&amp;I research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1.47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1.55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1.63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1.55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0.055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0.575</w:t>
            </w:r>
          </w:p>
        </w:tc>
      </w:tr>
      <w:tr w:rsidR="00A55026" w:rsidRPr="00A55026" w:rsidTr="00A55026">
        <w:trPr>
          <w:trHeight w:val="12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Describe the range of expertise needed to conduct D&amp;I research (e.g., mixed method experience, economic, organizational, policy, clinical)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1.53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1.67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1.56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0.063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0.601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Identify common D&amp;I measures &amp; analytic strategies relevant for your research question(s)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1.53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1.55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1.56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0.052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0.877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Identify the potential impact of disseminating, implementing and sustaining effective interventions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1.42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1.69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1.67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0.066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0.185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lastRenderedPageBreak/>
              <w:t>Identify and measure outcomes that matter to stakeholders, adopters and implementers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1.58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1.69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1.63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1.65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0.057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0.734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Identify appropriate conceptual models, frameworks, or program logic for D&amp;I change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1.81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1.67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1.47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1.66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0.059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0.114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Determine when engagement in participatory research is appropriate with D&amp;I research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1.61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1.71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0.056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0.475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Identify core elements (effective ingredients) of effective interventions and recognize risks of making modifications to these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1.72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1.72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1.73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1.73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0.058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0.997</w:t>
            </w:r>
          </w:p>
        </w:tc>
      </w:tr>
      <w:tr w:rsidR="00A55026" w:rsidRPr="00A55026" w:rsidTr="00A55026">
        <w:trPr>
          <w:trHeight w:val="12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Describe a process for designing for dissemination (planning for adoption, implementation and sustainability during the intervention development stage)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1.64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1.83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1.87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1.78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0.062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0.33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Describe the appropriate process for eliciting input from community-based practitioners for adapting an intervention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1.78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1.86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1.82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0.055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0.791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Describe the application and integration of mixed-methods (quantitative and qualitative) approaches in D&amp;I research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1.86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1.83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1.84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0.972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Apply common D&amp;I measures &amp; analytic strategies relevant for your research question(s) within your model/framework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1.86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1.84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1.86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0.054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0.921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Determine which evidence-based interventions are worth disseminating and implementing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1.83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1.89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0.062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0.35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Describe the relationships between various organizational dimensions (e.g., climate, culture) and D&amp;I research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1.89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1.86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0.061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0.662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Identify possible methods to address external validity in study design reporting and implementation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1.89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1.93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0.057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0.584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Identify a process for adapting an intervention and how the process is relevant to D&amp;I research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1.83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1.91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1.94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0.059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0.249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Assess, describe, and quantify (where possible) the context for effective D&amp;I (setting characteristics, culture, capacity &amp; readiness)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1.97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1.96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0.061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0.837</w:t>
            </w:r>
          </w:p>
        </w:tc>
      </w:tr>
      <w:tr w:rsidR="00A55026" w:rsidRPr="00A55026" w:rsidTr="00A55026">
        <w:trPr>
          <w:trHeight w:val="3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lastRenderedPageBreak/>
              <w:t>Identify existing gaps in D&amp;I research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1.83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1.98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0.055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0.04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List the potential roles of mediators and moderators in a D&amp;I study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1.83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1.97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1.98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0.061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0.265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Explain how to maintain fidelity of original interventions during the adaption process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0.055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0.101</w:t>
            </w:r>
          </w:p>
        </w:tc>
      </w:tr>
      <w:tr w:rsidR="00A55026" w:rsidRPr="00A55026" w:rsidTr="00A55026">
        <w:trPr>
          <w:trHeight w:val="12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Explain how knowledge from disciplines outside of health (e.g., business, marketing, and engineering) can help inform further trans-disciplinary efforts in D&amp;I research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1.86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1.95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2.01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0.072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0.062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Identify sites to participate in D&amp;I studies and negotiate or provide incentives to secure their involvement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0.066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0.408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Identify and develop sustainable partnerships for D&amp;I research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0.064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0.793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Identify and articulate the trade-offs between a variety of different study designs for D&amp;I research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0.059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0.802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Describe how to frame and analyze the context of D&amp;I as a complex system with interacting parts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1.94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2.43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0.066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0.027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Identify and apply techniques for stakeholder analysis and engagement when implementing evidence-based practices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2.21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0.057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0.982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Identify the potential impact of scaling down (aka de-implementing) an ineffective but often used intervention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2.24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2.33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2.24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0.064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0.644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Describe how to measure successful partnerships for D&amp;I research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2.25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2.43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2.24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0.058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0.123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Formulate methods to address barriers of D&amp;I research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2.25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2.31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2.27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0.059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0.844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Identify and articulate the interplay between policy and organizational processes in D&amp;I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2.28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2.43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2.27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0.061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0.154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 xml:space="preserve">Effectively integrate the concepts of sustainability/sustainment and the rationale </w:t>
            </w:r>
            <w:r w:rsidRPr="00A55026">
              <w:rPr>
                <w:rFonts w:ascii="Times New Roman" w:hAnsi="Times New Roman" w:cs="Times New Roman"/>
              </w:rPr>
              <w:lastRenderedPageBreak/>
              <w:t>behind them in D&amp;I study design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lastRenderedPageBreak/>
              <w:t>2.28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2.33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2.27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0.059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0.754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lastRenderedPageBreak/>
              <w:t>Use evidence to evaluate and adapt D&amp;I strategies for specific populations, settings, contexts, resources and/or capacities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2.39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2.36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2.43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2.39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0.896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Effectively explain and incorporate concepts of de-adoption and de-implementation into D&amp;I study design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2.53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2.47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2.47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2.48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0.058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0.89</w:t>
            </w:r>
          </w:p>
        </w:tc>
      </w:tr>
      <w:tr w:rsidR="00A55026" w:rsidRPr="00A55026" w:rsidTr="00A55026">
        <w:trPr>
          <w:trHeight w:val="6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Describe gaps in D&amp;I measurement and critically evaluate how to fill them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2.56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2.41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0.054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0.319</w:t>
            </w:r>
          </w:p>
        </w:tc>
      </w:tr>
      <w:tr w:rsidR="00A55026" w:rsidRPr="00A55026" w:rsidTr="00A55026">
        <w:trPr>
          <w:trHeight w:val="9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Incorporate methods of economic evaluation (e.g., implementation costs, cost-effectiveness) in D&amp;I study design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2.53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2.71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2.57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2.62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0.051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0.274</w:t>
            </w:r>
          </w:p>
        </w:tc>
      </w:tr>
      <w:tr w:rsidR="00A55026" w:rsidRPr="00A55026" w:rsidTr="00A55026">
        <w:trPr>
          <w:trHeight w:val="1200"/>
        </w:trPr>
        <w:tc>
          <w:tcPr>
            <w:tcW w:w="450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Evaluate and refine innovative scale-up and spread methods (e.g., technical assistance, interactive systems, novel incentives and ‘pull’ strategies)</w:t>
            </w:r>
          </w:p>
        </w:tc>
        <w:tc>
          <w:tcPr>
            <w:tcW w:w="117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2.69</w:t>
            </w:r>
          </w:p>
        </w:tc>
        <w:tc>
          <w:tcPr>
            <w:tcW w:w="153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2.67</w:t>
            </w:r>
          </w:p>
        </w:tc>
        <w:tc>
          <w:tcPr>
            <w:tcW w:w="126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2.73</w:t>
            </w:r>
          </w:p>
        </w:tc>
        <w:tc>
          <w:tcPr>
            <w:tcW w:w="99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2.69</w:t>
            </w:r>
          </w:p>
        </w:tc>
        <w:tc>
          <w:tcPr>
            <w:tcW w:w="81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0.051</w:t>
            </w:r>
          </w:p>
        </w:tc>
        <w:tc>
          <w:tcPr>
            <w:tcW w:w="1080" w:type="dxa"/>
            <w:hideMark/>
          </w:tcPr>
          <w:p w:rsidR="00A55026" w:rsidRPr="00A55026" w:rsidRDefault="00A55026" w:rsidP="00A5502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55026">
              <w:rPr>
                <w:rFonts w:ascii="Times New Roman" w:hAnsi="Times New Roman" w:cs="Times New Roman"/>
              </w:rPr>
              <w:t>0.896</w:t>
            </w:r>
          </w:p>
        </w:tc>
      </w:tr>
    </w:tbl>
    <w:p w:rsidR="00A55026" w:rsidRPr="00A55026" w:rsidRDefault="00A55026">
      <w:pPr>
        <w:rPr>
          <w:rFonts w:ascii="Times New Roman" w:hAnsi="Times New Roman" w:cs="Times New Roman"/>
          <w:b/>
        </w:rPr>
      </w:pPr>
    </w:p>
    <w:sectPr w:rsidR="00A55026" w:rsidRPr="00A55026" w:rsidSect="008D03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55026"/>
    <w:rsid w:val="00266194"/>
    <w:rsid w:val="004743C8"/>
    <w:rsid w:val="00494EA1"/>
    <w:rsid w:val="00510547"/>
    <w:rsid w:val="007750B4"/>
    <w:rsid w:val="008D037C"/>
    <w:rsid w:val="00A55026"/>
    <w:rsid w:val="00E54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5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Brown School</Company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Maggie Padek</dc:creator>
  <cp:lastModifiedBy>jolano</cp:lastModifiedBy>
  <cp:revision>3</cp:revision>
  <cp:lastPrinted>2015-01-12T17:39:00Z</cp:lastPrinted>
  <dcterms:created xsi:type="dcterms:W3CDTF">2015-07-27T14:38:00Z</dcterms:created>
  <dcterms:modified xsi:type="dcterms:W3CDTF">2015-08-03T13:17:00Z</dcterms:modified>
</cp:coreProperties>
</file>