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589" w:rsidRDefault="005F5121" w:rsidP="00CE45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Additional File</w:t>
      </w:r>
      <w:bookmarkStart w:id="0" w:name="_GoBack"/>
      <w:bookmarkEnd w:id="0"/>
      <w:r w:rsidR="001F56A1">
        <w:rPr>
          <w:rFonts w:ascii="Times New Roman" w:hAnsi="Times New Roman"/>
          <w:sz w:val="24"/>
          <w:szCs w:val="24"/>
        </w:rPr>
        <w:t xml:space="preserve"> 1</w:t>
      </w:r>
      <w:r w:rsidR="00CE4589">
        <w:rPr>
          <w:rFonts w:ascii="Times New Roman" w:hAnsi="Times New Roman"/>
          <w:sz w:val="24"/>
          <w:szCs w:val="24"/>
        </w:rPr>
        <w:t>. Social Communication Questionnaire (SCQ) and Social Responsiveness Scale (SRS) item mapping to DSM-5 criteria.</w:t>
      </w:r>
    </w:p>
    <w:p w:rsidR="00CE4589" w:rsidRPr="003E16F3" w:rsidRDefault="00CE4589" w:rsidP="00CE4589">
      <w:pPr>
        <w:rPr>
          <w:rFonts w:ascii="Times New Roman" w:hAnsi="Times New Roman"/>
          <w:b/>
          <w:sz w:val="24"/>
          <w:szCs w:val="24"/>
        </w:rPr>
      </w:pPr>
      <w:r w:rsidRPr="003E16F3">
        <w:rPr>
          <w:rFonts w:ascii="Times New Roman" w:hAnsi="Times New Roman"/>
          <w:b/>
          <w:sz w:val="24"/>
          <w:szCs w:val="24"/>
        </w:rPr>
        <w:t>DSM-5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2716"/>
        <w:gridCol w:w="1316"/>
      </w:tblGrid>
      <w:tr w:rsidR="00CE4589" w:rsidRPr="006F5110" w:rsidTr="005C5F82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4589" w:rsidRPr="006F5110" w:rsidRDefault="00CE4589" w:rsidP="005C5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SCQ item #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SRS item #</w:t>
            </w:r>
          </w:p>
        </w:tc>
      </w:tr>
      <w:tr w:rsidR="00CE4589" w:rsidRPr="006F5110" w:rsidTr="005C5F82">
        <w:tc>
          <w:tcPr>
            <w:tcW w:w="0" w:type="auto"/>
            <w:tcBorders>
              <w:top w:val="single" w:sz="4" w:space="0" w:color="auto"/>
            </w:tcBorders>
          </w:tcPr>
          <w:p w:rsidR="00CE4589" w:rsidRPr="006F5110" w:rsidRDefault="00CE4589" w:rsidP="005C5F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110">
              <w:rPr>
                <w:rFonts w:ascii="Times New Roman" w:hAnsi="Times New Roman"/>
                <w:b/>
              </w:rPr>
              <w:t>Social Communication and Interaction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: social-emotional reciprocity</w:t>
            </w: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color w:val="000000"/>
                <w:sz w:val="20"/>
                <w:szCs w:val="20"/>
              </w:rPr>
              <w:t>20, 28, 30, 31, 34, 37, 38, 40</w:t>
            </w:r>
          </w:p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DA6751" w:rsidP="005C3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13, </w:t>
            </w:r>
            <w:r w:rsidR="005C3570">
              <w:rPr>
                <w:rFonts w:ascii="Times New Roman" w:hAnsi="Times New Roman"/>
                <w:sz w:val="20"/>
                <w:szCs w:val="20"/>
              </w:rPr>
              <w:t>26, 38, 48</w:t>
            </w: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: non-verbal communication</w:t>
            </w:r>
          </w:p>
        </w:tc>
        <w:tc>
          <w:tcPr>
            <w:tcW w:w="0" w:type="auto"/>
          </w:tcPr>
          <w:p w:rsidR="00CE4589" w:rsidRPr="006F5110" w:rsidRDefault="005C3570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9, </w:t>
            </w:r>
            <w:r w:rsidR="00CE4589" w:rsidRPr="006F5110">
              <w:rPr>
                <w:rFonts w:ascii="Times New Roman" w:hAnsi="Times New Roman"/>
                <w:sz w:val="20"/>
                <w:szCs w:val="20"/>
              </w:rPr>
              <w:t>10, 22, 23, 24, 25, 26, 27, 33</w:t>
            </w:r>
          </w:p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5C3570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45, </w:t>
            </w:r>
            <w:r w:rsidR="00DA6751">
              <w:rPr>
                <w:rFonts w:ascii="Times New Roman" w:hAnsi="Times New Roman"/>
                <w:sz w:val="20"/>
                <w:szCs w:val="20"/>
              </w:rPr>
              <w:t xml:space="preserve">52, </w:t>
            </w:r>
            <w:r w:rsidR="00CE4589" w:rsidRPr="006F5110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3: relationships</w:t>
            </w: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19, 36, 39</w:t>
            </w:r>
          </w:p>
        </w:tc>
        <w:tc>
          <w:tcPr>
            <w:tcW w:w="0" w:type="auto"/>
          </w:tcPr>
          <w:p w:rsidR="00CE4589" w:rsidRPr="006F5110" w:rsidRDefault="00DA6751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18, 37</w:t>
            </w: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F5110">
              <w:rPr>
                <w:rFonts w:ascii="Times New Roman" w:hAnsi="Times New Roman"/>
                <w:b/>
              </w:rPr>
              <w:t>Restricted, Repetitive Behavior</w:t>
            </w:r>
          </w:p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: repetitive motor</w:t>
            </w: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12, 15, 16</w:t>
            </w:r>
          </w:p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: insistence on sameness</w:t>
            </w:r>
          </w:p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6751">
              <w:rPr>
                <w:rFonts w:ascii="Times New Roman" w:hAnsi="Times New Roman"/>
                <w:sz w:val="20"/>
                <w:szCs w:val="20"/>
              </w:rPr>
              <w:t xml:space="preserve">31, </w:t>
            </w: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: restricted interests</w:t>
            </w: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11, </w:t>
            </w:r>
            <w:r w:rsidRPr="006F5110">
              <w:rPr>
                <w:rFonts w:ascii="Times New Roman" w:hAnsi="Times New Roman"/>
                <w:sz w:val="20"/>
                <w:szCs w:val="20"/>
              </w:rPr>
              <w:t>13, 18</w:t>
            </w:r>
          </w:p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CE4589" w:rsidRPr="006F5110" w:rsidTr="005C5F82">
        <w:tc>
          <w:tcPr>
            <w:tcW w:w="0" w:type="auto"/>
          </w:tcPr>
          <w:p w:rsidR="00CE4589" w:rsidRPr="006F5110" w:rsidRDefault="00CE4589" w:rsidP="005C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: abnormal sensory</w:t>
            </w: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11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E4589" w:rsidRPr="006F5110" w:rsidRDefault="00CE4589" w:rsidP="005C5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20, </w:t>
            </w:r>
            <w:r w:rsidRPr="006F5110">
              <w:rPr>
                <w:rFonts w:ascii="Times New Roman" w:hAnsi="Times New Roman"/>
                <w:sz w:val="20"/>
                <w:szCs w:val="20"/>
              </w:rPr>
              <w:t>42, 63</w:t>
            </w:r>
          </w:p>
        </w:tc>
      </w:tr>
    </w:tbl>
    <w:p w:rsidR="00CE4589" w:rsidRDefault="00CE4589" w:rsidP="00CE45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Note: SCQ=Social Communication Questionnaire. SRS=Social Responsiveness Scale. </w:t>
      </w:r>
      <w:r w:rsidRPr="00497363">
        <w:rPr>
          <w:rFonts w:ascii="Times New Roman" w:hAnsi="Times New Roman"/>
          <w:sz w:val="24"/>
          <w:szCs w:val="24"/>
        </w:rPr>
        <w:t xml:space="preserve">This table depicts scale items that were </w:t>
      </w:r>
      <w:r w:rsidR="005C3570">
        <w:rPr>
          <w:rFonts w:ascii="Times New Roman" w:hAnsi="Times New Roman"/>
          <w:sz w:val="24"/>
          <w:szCs w:val="24"/>
        </w:rPr>
        <w:t>mapped to</w:t>
      </w:r>
      <w:r w:rsidRPr="00497363">
        <w:rPr>
          <w:rFonts w:ascii="Times New Roman" w:hAnsi="Times New Roman"/>
          <w:sz w:val="24"/>
          <w:szCs w:val="24"/>
        </w:rPr>
        <w:t xml:space="preserve"> DSM-5 criterion sets, preferentially drawing from the SCQ</w:t>
      </w:r>
      <w:r w:rsidR="00921AAC">
        <w:rPr>
          <w:rFonts w:ascii="Times New Roman" w:hAnsi="Times New Roman"/>
          <w:sz w:val="24"/>
          <w:szCs w:val="24"/>
        </w:rPr>
        <w:t xml:space="preserve"> but eliminating items used to determine HLDAS</w:t>
      </w:r>
      <w:r w:rsidRPr="00497363">
        <w:rPr>
          <w:rFonts w:ascii="Times New Roman" w:hAnsi="Times New Roman"/>
          <w:sz w:val="24"/>
          <w:szCs w:val="24"/>
        </w:rPr>
        <w:t xml:space="preserve">, and incorporating SRS items as necessary to ensure </w:t>
      </w:r>
      <w:r w:rsidR="005C3570">
        <w:rPr>
          <w:rFonts w:ascii="Times New Roman" w:hAnsi="Times New Roman"/>
          <w:sz w:val="24"/>
          <w:szCs w:val="24"/>
        </w:rPr>
        <w:t>adequate</w:t>
      </w:r>
      <w:r w:rsidRPr="00497363">
        <w:rPr>
          <w:rFonts w:ascii="Times New Roman" w:hAnsi="Times New Roman"/>
          <w:sz w:val="24"/>
          <w:szCs w:val="24"/>
        </w:rPr>
        <w:t xml:space="preserve"> coverage of each criterion domain. </w:t>
      </w:r>
      <w:r w:rsidR="005C3570">
        <w:rPr>
          <w:rFonts w:ascii="Times New Roman" w:hAnsi="Times New Roman"/>
          <w:sz w:val="24"/>
          <w:szCs w:val="24"/>
        </w:rPr>
        <w:t>A</w:t>
      </w:r>
      <w:r w:rsidRPr="00497363">
        <w:rPr>
          <w:rFonts w:ascii="Times New Roman" w:hAnsi="Times New Roman"/>
          <w:sz w:val="24"/>
          <w:szCs w:val="24"/>
        </w:rPr>
        <w:t>dditional SRS items relate to the constructs encompassed by DSM-V</w:t>
      </w:r>
      <w:r w:rsidR="005C3570">
        <w:rPr>
          <w:rFonts w:ascii="Times New Roman" w:hAnsi="Times New Roman"/>
          <w:sz w:val="24"/>
          <w:szCs w:val="24"/>
        </w:rPr>
        <w:t xml:space="preserve"> but were not included to focus only on those with the clearest correspondence to criteria.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0338" w:rsidRDefault="00270338"/>
    <w:sectPr w:rsidR="00270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89"/>
    <w:rsid w:val="001F56A1"/>
    <w:rsid w:val="00270338"/>
    <w:rsid w:val="005C3570"/>
    <w:rsid w:val="005F5121"/>
    <w:rsid w:val="00921AAC"/>
    <w:rsid w:val="00CE4589"/>
    <w:rsid w:val="00DA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5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5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5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4</cp:revision>
  <dcterms:created xsi:type="dcterms:W3CDTF">2014-12-02T15:01:00Z</dcterms:created>
  <dcterms:modified xsi:type="dcterms:W3CDTF">2015-05-28T18:48:00Z</dcterms:modified>
</cp:coreProperties>
</file>