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44B" w:rsidRPr="00AF3F38" w:rsidRDefault="00AF3F38">
      <w:pPr>
        <w:rPr>
          <w:rFonts w:ascii="Times New Roman" w:hAnsi="Times New Roman" w:cs="Times New Roman"/>
          <w:b/>
          <w:sz w:val="24"/>
        </w:rPr>
      </w:pPr>
      <w:r w:rsidRPr="00AF3F38">
        <w:rPr>
          <w:rFonts w:ascii="Times New Roman" w:hAnsi="Times New Roman" w:cs="Times New Roman"/>
          <w:b/>
          <w:sz w:val="24"/>
        </w:rPr>
        <w:t>Supplementary material.</w:t>
      </w:r>
    </w:p>
    <w:p w:rsidR="00AF3F38" w:rsidRPr="00AF3F38" w:rsidRDefault="00531D03">
      <w:p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Centiloid</w:t>
      </w:r>
      <w:proofErr w:type="spellEnd"/>
      <w:r>
        <w:rPr>
          <w:rFonts w:ascii="Times New Roman" w:hAnsi="Times New Roman" w:cs="Times New Roman"/>
          <w:b/>
        </w:rPr>
        <w:t xml:space="preserve"> Analysis for the GAAIN Dataset</w:t>
      </w:r>
      <w:r w:rsidR="00AF3F38" w:rsidRPr="00AF3F38">
        <w:rPr>
          <w:rFonts w:ascii="Times New Roman" w:hAnsi="Times New Roman" w:cs="Times New Roman"/>
          <w:b/>
        </w:rPr>
        <w:t xml:space="preserve"> </w:t>
      </w:r>
    </w:p>
    <w:p w:rsidR="00F523E0" w:rsidRDefault="00AF3F38">
      <w:pPr>
        <w:rPr>
          <w:rFonts w:ascii="Times New Roman" w:hAnsi="Times New Roman" w:cs="Times New Roman"/>
          <w:sz w:val="24"/>
        </w:rPr>
      </w:pPr>
      <w:r w:rsidRPr="00F8639D">
        <w:rPr>
          <w:rFonts w:ascii="Times New Roman" w:hAnsi="Times New Roman" w:cs="Times New Roman"/>
          <w:sz w:val="24"/>
        </w:rPr>
        <w:tab/>
        <w:t xml:space="preserve">The </w:t>
      </w:r>
      <w:proofErr w:type="spellStart"/>
      <w:r w:rsidRPr="00F8639D">
        <w:rPr>
          <w:rFonts w:ascii="Times New Roman" w:hAnsi="Times New Roman" w:cs="Times New Roman"/>
          <w:sz w:val="24"/>
        </w:rPr>
        <w:t>Centiloid</w:t>
      </w:r>
      <w:proofErr w:type="spellEnd"/>
      <w:r w:rsidRPr="00F8639D">
        <w:rPr>
          <w:rFonts w:ascii="Times New Roman" w:hAnsi="Times New Roman" w:cs="Times New Roman"/>
          <w:sz w:val="24"/>
        </w:rPr>
        <w:t xml:space="preserve"> measures derived from our local implementation of the standard </w:t>
      </w:r>
      <w:proofErr w:type="spellStart"/>
      <w:r w:rsidRPr="00F8639D">
        <w:rPr>
          <w:rFonts w:ascii="Times New Roman" w:hAnsi="Times New Roman" w:cs="Times New Roman"/>
          <w:sz w:val="24"/>
        </w:rPr>
        <w:t>Centiloid</w:t>
      </w:r>
      <w:proofErr w:type="spellEnd"/>
      <w:r w:rsidRPr="00F8639D">
        <w:rPr>
          <w:rFonts w:ascii="Times New Roman" w:hAnsi="Times New Roman" w:cs="Times New Roman"/>
          <w:sz w:val="24"/>
        </w:rPr>
        <w:t xml:space="preserve"> analysis procedure strongly agree with the published </w:t>
      </w:r>
      <w:proofErr w:type="spellStart"/>
      <w:r w:rsidRPr="00F8639D">
        <w:rPr>
          <w:rFonts w:ascii="Times New Roman" w:hAnsi="Times New Roman" w:cs="Times New Roman"/>
          <w:sz w:val="24"/>
        </w:rPr>
        <w:t>Centiloid</w:t>
      </w:r>
      <w:proofErr w:type="spellEnd"/>
      <w:r w:rsidRPr="00F8639D">
        <w:rPr>
          <w:rFonts w:ascii="Times New Roman" w:hAnsi="Times New Roman" w:cs="Times New Roman"/>
          <w:sz w:val="24"/>
        </w:rPr>
        <w:t xml:space="preserve"> values for the GAAIN dataset (Supp. Fig. 1; Supp. Table 1). </w:t>
      </w:r>
    </w:p>
    <w:p w:rsidR="00F523E0" w:rsidRDefault="00F523E0" w:rsidP="00F523E0">
      <w:pPr>
        <w:jc w:val="center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inline distT="0" distB="0" distL="0" distR="0" wp14:anchorId="6141F6C7" wp14:editId="6A5716F1">
            <wp:extent cx="4584589" cy="4584589"/>
            <wp:effectExtent l="0" t="0" r="6985" b="6985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589" cy="4584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3E0" w:rsidRDefault="00F523E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Supplementary Figure 1. Comparison between amyloid </w:t>
      </w:r>
      <w:proofErr w:type="gramStart"/>
      <w:r>
        <w:rPr>
          <w:rFonts w:ascii="Times New Roman" w:hAnsi="Times New Roman" w:cs="Times New Roman"/>
          <w:sz w:val="24"/>
        </w:rPr>
        <w:t>burden</w:t>
      </w:r>
      <w:proofErr w:type="gramEnd"/>
      <w:r>
        <w:rPr>
          <w:rFonts w:ascii="Times New Roman" w:hAnsi="Times New Roman" w:cs="Times New Roman"/>
          <w:sz w:val="24"/>
        </w:rPr>
        <w:t xml:space="preserve"> in the </w:t>
      </w:r>
      <w:proofErr w:type="spellStart"/>
      <w:r>
        <w:rPr>
          <w:rFonts w:ascii="Times New Roman" w:hAnsi="Times New Roman" w:cs="Times New Roman"/>
          <w:sz w:val="24"/>
        </w:rPr>
        <w:t>Centiloid</w:t>
      </w:r>
      <w:proofErr w:type="spellEnd"/>
      <w:r>
        <w:rPr>
          <w:rFonts w:ascii="Times New Roman" w:hAnsi="Times New Roman" w:cs="Times New Roman"/>
          <w:sz w:val="24"/>
        </w:rPr>
        <w:t xml:space="preserve"> scale derived from our local implementation of the standard </w:t>
      </w:r>
      <w:proofErr w:type="spellStart"/>
      <w:r>
        <w:rPr>
          <w:rFonts w:ascii="Times New Roman" w:hAnsi="Times New Roman" w:cs="Times New Roman"/>
          <w:sz w:val="24"/>
        </w:rPr>
        <w:t>Centiloid</w:t>
      </w:r>
      <w:proofErr w:type="spellEnd"/>
      <w:r>
        <w:rPr>
          <w:rFonts w:ascii="Times New Roman" w:hAnsi="Times New Roman" w:cs="Times New Roman"/>
          <w:sz w:val="24"/>
        </w:rPr>
        <w:t xml:space="preserve"> analysis and the reported </w:t>
      </w:r>
      <w:proofErr w:type="spellStart"/>
      <w:r>
        <w:rPr>
          <w:rFonts w:ascii="Times New Roman" w:hAnsi="Times New Roman" w:cs="Times New Roman"/>
          <w:sz w:val="24"/>
        </w:rPr>
        <w:t>Centiloid</w:t>
      </w:r>
      <w:proofErr w:type="spellEnd"/>
      <w:r>
        <w:rPr>
          <w:rFonts w:ascii="Times New Roman" w:hAnsi="Times New Roman" w:cs="Times New Roman"/>
          <w:sz w:val="24"/>
        </w:rPr>
        <w:t xml:space="preserve"> values in </w:t>
      </w:r>
      <w:r>
        <w:rPr>
          <w:rFonts w:ascii="Times New Roman" w:hAnsi="Times New Roman" w:cs="Times New Roman"/>
          <w:sz w:val="24"/>
        </w:rPr>
        <w:fldChar w:fldCharType="begin">
          <w:fldData xml:space="preserve">PEVuZE5vdGU+PENpdGU+PEF1dGhvcj5LbHVuazwvQXV0aG9yPjxZZWFyPjIwMTU8L1llYXI+PFJl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</w:fldData>
        </w:fldChar>
      </w:r>
      <w:r>
        <w:rPr>
          <w:rFonts w:ascii="Times New Roman" w:hAnsi="Times New Roman" w:cs="Times New Roman"/>
          <w:sz w:val="24"/>
        </w:rPr>
        <w:instrText xml:space="preserve"> ADDIN EN.CITE </w:instrText>
      </w:r>
      <w:r>
        <w:rPr>
          <w:rFonts w:ascii="Times New Roman" w:hAnsi="Times New Roman" w:cs="Times New Roman"/>
          <w:sz w:val="24"/>
        </w:rPr>
        <w:fldChar w:fldCharType="begin">
          <w:fldData xml:space="preserve">PEVuZE5vdGU+PENpdGU+PEF1dGhvcj5LbHVuazwvQXV0aG9yPjxZZWFyPjIwMTU8L1llYXI+PFJl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</w:fldData>
        </w:fldChar>
      </w:r>
      <w:r>
        <w:rPr>
          <w:rFonts w:ascii="Times New Roman" w:hAnsi="Times New Roman" w:cs="Times New Roman"/>
          <w:sz w:val="24"/>
        </w:rPr>
        <w:instrText xml:space="preserve"> ADDIN EN.CITE.DATA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end"/>
      </w:r>
      <w:r>
        <w:rPr>
          <w:rFonts w:ascii="Times New Roman" w:hAnsi="Times New Roman" w:cs="Times New Roman"/>
          <w:sz w:val="24"/>
        </w:rPr>
        <w:fldChar w:fldCharType="separate"/>
      </w:r>
      <w:r>
        <w:rPr>
          <w:rFonts w:ascii="Times New Roman" w:hAnsi="Times New Roman" w:cs="Times New Roman"/>
          <w:noProof/>
          <w:sz w:val="24"/>
        </w:rPr>
        <w:t>(Klunk et al., 2015)</w:t>
      </w:r>
      <w:r>
        <w:rPr>
          <w:rFonts w:ascii="Times New Roman" w:hAnsi="Times New Roman" w:cs="Times New Roman"/>
          <w:sz w:val="24"/>
        </w:rPr>
        <w:fldChar w:fldCharType="end"/>
      </w:r>
      <w:r>
        <w:rPr>
          <w:rFonts w:ascii="Times New Roman" w:hAnsi="Times New Roman" w:cs="Times New Roman"/>
          <w:sz w:val="24"/>
        </w:rPr>
        <w:t xml:space="preserve"> for the GAAIN dataset. </w:t>
      </w:r>
    </w:p>
    <w:p w:rsidR="00531D03" w:rsidRPr="00F8639D" w:rsidRDefault="00531D03">
      <w:pPr>
        <w:rPr>
          <w:rFonts w:ascii="Times New Roman" w:hAnsi="Times New Roman" w:cs="Times New Roman"/>
          <w:sz w:val="24"/>
        </w:rPr>
      </w:pPr>
      <w:r w:rsidRPr="00F8639D">
        <w:rPr>
          <w:rFonts w:ascii="Times New Roman" w:hAnsi="Times New Roman" w:cs="Times New Roman"/>
          <w:sz w:val="24"/>
        </w:rPr>
        <w:t xml:space="preserve">The conversion equation from our local </w:t>
      </w:r>
      <w:proofErr w:type="spellStart"/>
      <w:r w:rsidRPr="00F8639D">
        <w:rPr>
          <w:rFonts w:ascii="Times New Roman" w:hAnsi="Times New Roman" w:cs="Times New Roman"/>
          <w:sz w:val="24"/>
        </w:rPr>
        <w:t>Centiloid</w:t>
      </w:r>
      <w:proofErr w:type="spellEnd"/>
      <w:r w:rsidRPr="00F8639D">
        <w:rPr>
          <w:rFonts w:ascii="Times New Roman" w:hAnsi="Times New Roman" w:cs="Times New Roman"/>
          <w:sz w:val="24"/>
        </w:rPr>
        <w:t xml:space="preserve"> SUVR to the </w:t>
      </w:r>
      <w:proofErr w:type="spellStart"/>
      <w:r w:rsidRPr="00F8639D">
        <w:rPr>
          <w:rFonts w:ascii="Times New Roman" w:hAnsi="Times New Roman" w:cs="Times New Roman"/>
          <w:sz w:val="24"/>
        </w:rPr>
        <w:t>Centiloid</w:t>
      </w:r>
      <w:proofErr w:type="spellEnd"/>
      <w:r w:rsidRPr="00F8639D">
        <w:rPr>
          <w:rFonts w:ascii="Times New Roman" w:hAnsi="Times New Roman" w:cs="Times New Roman"/>
          <w:sz w:val="24"/>
        </w:rPr>
        <w:t xml:space="preserve"> scale is:</w:t>
      </w:r>
    </w:p>
    <w:p w:rsidR="00531D03" w:rsidRPr="00F8639D" w:rsidRDefault="00AA7728" w:rsidP="001637C4">
      <w:pPr>
        <w:jc w:val="right"/>
        <w:rPr>
          <w:rFonts w:ascii="Times New Roman" w:hAnsi="Times New Roman" w:cs="Times New Roman"/>
          <w:sz w:val="24"/>
        </w:rPr>
      </w:pPr>
      <w:r w:rsidRPr="00F8639D">
        <w:rPr>
          <w:rFonts w:ascii="Times New Roman" w:hAnsi="Times New Roman" w:cs="Times New Roman"/>
          <w:position w:val="-12"/>
          <w:sz w:val="24"/>
        </w:rPr>
        <w:object w:dxaOrig="4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75pt;height:18.25pt" o:ole="">
            <v:imagedata r:id="rId5" o:title=""/>
          </v:shape>
          <o:OLEObject Type="Embed" ProgID="Equation.3" ShapeID="_x0000_i1025" DrawAspect="Content" ObjectID="_1570879031" r:id="rId6"/>
        </w:object>
      </w:r>
      <w:r w:rsidR="00531D03" w:rsidRPr="00F8639D">
        <w:rPr>
          <w:rFonts w:ascii="Times New Roman" w:hAnsi="Times New Roman" w:cs="Times New Roman"/>
          <w:sz w:val="24"/>
        </w:rPr>
        <w:tab/>
      </w:r>
      <w:r w:rsidR="001637C4" w:rsidRPr="00F8639D">
        <w:rPr>
          <w:rFonts w:ascii="Times New Roman" w:hAnsi="Times New Roman" w:cs="Times New Roman"/>
          <w:sz w:val="24"/>
        </w:rPr>
        <w:tab/>
      </w:r>
      <w:r w:rsidR="00531D03" w:rsidRPr="00F8639D">
        <w:rPr>
          <w:rFonts w:ascii="Times New Roman" w:hAnsi="Times New Roman" w:cs="Times New Roman"/>
          <w:sz w:val="24"/>
        </w:rPr>
        <w:tab/>
      </w:r>
      <w:r w:rsidR="00531D03"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ab/>
        <w:t xml:space="preserve">supp. </w:t>
      </w:r>
      <w:r w:rsidR="00531D03" w:rsidRPr="00F8639D">
        <w:rPr>
          <w:rFonts w:ascii="Times New Roman" w:hAnsi="Times New Roman" w:cs="Times New Roman"/>
          <w:sz w:val="24"/>
        </w:rPr>
        <w:t>eq. 1</w:t>
      </w:r>
    </w:p>
    <w:p w:rsidR="00550BEF" w:rsidRPr="00F8639D" w:rsidRDefault="00531D03">
      <w:pPr>
        <w:rPr>
          <w:rFonts w:ascii="Times New Roman" w:hAnsi="Times New Roman" w:cs="Times New Roman"/>
          <w:sz w:val="24"/>
        </w:rPr>
      </w:pPr>
      <w:r w:rsidRPr="00F8639D">
        <w:rPr>
          <w:rFonts w:ascii="Times New Roman" w:hAnsi="Times New Roman" w:cs="Times New Roman"/>
          <w:sz w:val="24"/>
        </w:rPr>
        <w:t>Global indices of amyloid burden obtained from the twelve different analysis technique</w:t>
      </w:r>
      <w:r w:rsidR="00550BEF" w:rsidRPr="00F8639D">
        <w:rPr>
          <w:rFonts w:ascii="Times New Roman" w:hAnsi="Times New Roman" w:cs="Times New Roman"/>
          <w:sz w:val="24"/>
        </w:rPr>
        <w:t xml:space="preserve">s was listed in Supp. Table 2. Following level-2 procedure described in </w:t>
      </w:r>
      <w:proofErr w:type="spellStart"/>
      <w:r w:rsidR="00550BEF" w:rsidRPr="00F8639D">
        <w:rPr>
          <w:rFonts w:ascii="Times New Roman" w:hAnsi="Times New Roman" w:cs="Times New Roman"/>
          <w:sz w:val="24"/>
        </w:rPr>
        <w:t>Klunk</w:t>
      </w:r>
      <w:proofErr w:type="spellEnd"/>
      <w:r w:rsidR="00550BEF" w:rsidRPr="00F8639D">
        <w:rPr>
          <w:rFonts w:ascii="Times New Roman" w:hAnsi="Times New Roman" w:cs="Times New Roman"/>
          <w:sz w:val="24"/>
        </w:rPr>
        <w:t xml:space="preserve"> et al., the equation for conversions from individual amyloid burden measurements to </w:t>
      </w:r>
      <w:proofErr w:type="spellStart"/>
      <w:r w:rsidR="00550BEF" w:rsidRPr="00F8639D">
        <w:rPr>
          <w:rFonts w:ascii="Times New Roman" w:hAnsi="Times New Roman" w:cs="Times New Roman"/>
          <w:sz w:val="24"/>
        </w:rPr>
        <w:t>Centiloid</w:t>
      </w:r>
      <w:proofErr w:type="spellEnd"/>
      <w:r w:rsidR="00550BEF" w:rsidRPr="00F8639D">
        <w:rPr>
          <w:rFonts w:ascii="Times New Roman" w:hAnsi="Times New Roman" w:cs="Times New Roman"/>
          <w:sz w:val="24"/>
        </w:rPr>
        <w:t xml:space="preserve"> scale were:</w:t>
      </w:r>
    </w:p>
    <w:p w:rsidR="001637C4" w:rsidRPr="00F8639D" w:rsidRDefault="00AA7728" w:rsidP="00E1421D">
      <w:pPr>
        <w:jc w:val="right"/>
        <w:rPr>
          <w:rFonts w:ascii="Times New Roman" w:hAnsi="Times New Roman" w:cs="Times New Roman"/>
          <w:sz w:val="24"/>
        </w:rPr>
      </w:pPr>
      <w:r w:rsidRPr="00F8639D">
        <w:rPr>
          <w:rFonts w:ascii="Times New Roman" w:hAnsi="Times New Roman" w:cs="Times New Roman"/>
          <w:position w:val="-10"/>
          <w:sz w:val="24"/>
        </w:rPr>
        <w:object w:dxaOrig="4560" w:dyaOrig="320">
          <v:shape id="_x0000_i1026" type="#_x0000_t75" style="width:227.8pt;height:16.1pt" o:ole="">
            <v:imagedata r:id="rId7" o:title=""/>
          </v:shape>
          <o:OLEObject Type="Embed" ProgID="Equation.3" ShapeID="_x0000_i1026" DrawAspect="Content" ObjectID="_1570879032" r:id="rId8"/>
        </w:object>
      </w:r>
      <w:r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ab/>
      </w:r>
      <w:r w:rsidR="001637C4"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>supp. eq. 2</w:t>
      </w:r>
      <w:r w:rsidRPr="00F8639D">
        <w:rPr>
          <w:rFonts w:ascii="Times New Roman" w:hAnsi="Times New Roman" w:cs="Times New Roman"/>
          <w:position w:val="-10"/>
          <w:sz w:val="24"/>
        </w:rPr>
        <w:object w:dxaOrig="5740" w:dyaOrig="320">
          <v:shape id="_x0000_i1027" type="#_x0000_t75" style="width:286.95pt;height:16.1pt" o:ole="">
            <v:imagedata r:id="rId9" o:title=""/>
          </v:shape>
          <o:OLEObject Type="Embed" ProgID="Equation.3" ShapeID="_x0000_i1027" DrawAspect="Content" ObjectID="_1570879033" r:id="rId10"/>
        </w:object>
      </w:r>
      <w:r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ab/>
      </w:r>
      <w:r w:rsidR="001637C4"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>supp. eq. 3</w:t>
      </w:r>
      <w:r w:rsidRPr="00F8639D">
        <w:rPr>
          <w:rFonts w:ascii="Times New Roman" w:hAnsi="Times New Roman" w:cs="Times New Roman"/>
          <w:position w:val="-10"/>
          <w:sz w:val="24"/>
        </w:rPr>
        <w:object w:dxaOrig="4560" w:dyaOrig="320">
          <v:shape id="_x0000_i1028" type="#_x0000_t75" style="width:227.8pt;height:16.1pt" o:ole="">
            <v:imagedata r:id="rId11" o:title=""/>
          </v:shape>
          <o:OLEObject Type="Embed" ProgID="Equation.3" ShapeID="_x0000_i1028" DrawAspect="Content" ObjectID="_1570879034" r:id="rId12"/>
        </w:object>
      </w:r>
      <w:r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ab/>
      </w:r>
      <w:r w:rsidR="001637C4"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>supp. eq. 4</w:t>
      </w:r>
      <w:r w:rsidRPr="00F8639D">
        <w:rPr>
          <w:rFonts w:ascii="Times New Roman" w:hAnsi="Times New Roman" w:cs="Times New Roman"/>
          <w:position w:val="-10"/>
          <w:sz w:val="24"/>
        </w:rPr>
        <w:object w:dxaOrig="5740" w:dyaOrig="320">
          <v:shape id="_x0000_i1029" type="#_x0000_t75" style="width:286.95pt;height:16.1pt" o:ole="">
            <v:imagedata r:id="rId13" o:title=""/>
          </v:shape>
          <o:OLEObject Type="Embed" ProgID="Equation.3" ShapeID="_x0000_i1029" DrawAspect="Content" ObjectID="_1570879035" r:id="rId14"/>
        </w:object>
      </w:r>
      <w:r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ab/>
      </w:r>
      <w:r w:rsidR="001637C4"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>supp. eq. 5</w:t>
      </w:r>
      <w:r w:rsidRPr="00F8639D">
        <w:rPr>
          <w:rFonts w:ascii="Times New Roman" w:hAnsi="Times New Roman" w:cs="Times New Roman"/>
          <w:position w:val="-10"/>
          <w:sz w:val="24"/>
        </w:rPr>
        <w:object w:dxaOrig="5340" w:dyaOrig="320">
          <v:shape id="_x0000_i1030" type="#_x0000_t75" style="width:267.05pt;height:16.1pt" o:ole="">
            <v:imagedata r:id="rId15" o:title=""/>
          </v:shape>
          <o:OLEObject Type="Embed" ProgID="Equation.3" ShapeID="_x0000_i1030" DrawAspect="Content" ObjectID="_1570879036" r:id="rId16"/>
        </w:object>
      </w:r>
      <w:r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ab/>
      </w:r>
      <w:r w:rsidR="001637C4"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>supp. eq. 6</w:t>
      </w:r>
      <w:r w:rsidRPr="00F8639D">
        <w:rPr>
          <w:rFonts w:ascii="Times New Roman" w:hAnsi="Times New Roman" w:cs="Times New Roman"/>
          <w:position w:val="-10"/>
          <w:sz w:val="24"/>
        </w:rPr>
        <w:object w:dxaOrig="6440" w:dyaOrig="320">
          <v:shape id="_x0000_i1031" type="#_x0000_t75" style="width:321.85pt;height:16.1pt" o:ole="">
            <v:imagedata r:id="rId17" o:title=""/>
          </v:shape>
          <o:OLEObject Type="Embed" ProgID="Equation.3" ShapeID="_x0000_i1031" DrawAspect="Content" ObjectID="_1570879037" r:id="rId18"/>
        </w:object>
      </w:r>
      <w:r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ab/>
      </w:r>
      <w:r w:rsidR="001637C4" w:rsidRPr="00F8639D">
        <w:rPr>
          <w:rFonts w:ascii="Times New Roman" w:hAnsi="Times New Roman" w:cs="Times New Roman"/>
          <w:sz w:val="24"/>
        </w:rPr>
        <w:tab/>
      </w:r>
      <w:r w:rsidRPr="00F8639D">
        <w:rPr>
          <w:rFonts w:ascii="Times New Roman" w:hAnsi="Times New Roman" w:cs="Times New Roman"/>
          <w:sz w:val="24"/>
        </w:rPr>
        <w:t>supp. eq. 7</w:t>
      </w:r>
      <w:r w:rsidR="001637C4" w:rsidRPr="00F8639D">
        <w:rPr>
          <w:rFonts w:ascii="Times New Roman" w:hAnsi="Times New Roman" w:cs="Times New Roman"/>
          <w:position w:val="-10"/>
          <w:sz w:val="24"/>
        </w:rPr>
        <w:object w:dxaOrig="5360" w:dyaOrig="320">
          <v:shape id="_x0000_i1032" type="#_x0000_t75" style="width:268.1pt;height:16.1pt" o:ole="">
            <v:imagedata r:id="rId19" o:title=""/>
          </v:shape>
          <o:OLEObject Type="Embed" ProgID="Equation.3" ShapeID="_x0000_i1032" DrawAspect="Content" ObjectID="_1570879038" r:id="rId20"/>
        </w:object>
      </w:r>
      <w:r w:rsidR="001637C4" w:rsidRPr="00F8639D">
        <w:rPr>
          <w:rFonts w:ascii="Times New Roman" w:hAnsi="Times New Roman" w:cs="Times New Roman"/>
          <w:sz w:val="24"/>
        </w:rPr>
        <w:tab/>
      </w:r>
      <w:r w:rsidR="001637C4" w:rsidRPr="00F8639D">
        <w:rPr>
          <w:rFonts w:ascii="Times New Roman" w:hAnsi="Times New Roman" w:cs="Times New Roman"/>
          <w:sz w:val="24"/>
        </w:rPr>
        <w:tab/>
      </w:r>
      <w:r w:rsidR="001637C4" w:rsidRPr="00F8639D">
        <w:rPr>
          <w:rFonts w:ascii="Times New Roman" w:hAnsi="Times New Roman" w:cs="Times New Roman"/>
          <w:sz w:val="24"/>
        </w:rPr>
        <w:tab/>
      </w:r>
      <w:r w:rsidR="001637C4" w:rsidRPr="00F8639D">
        <w:rPr>
          <w:rFonts w:ascii="Times New Roman" w:hAnsi="Times New Roman" w:cs="Times New Roman"/>
          <w:sz w:val="24"/>
        </w:rPr>
        <w:tab/>
        <w:t>supp. eq. 8</w:t>
      </w:r>
      <w:r w:rsidR="001637C4" w:rsidRPr="00F8639D">
        <w:rPr>
          <w:rFonts w:ascii="Times New Roman" w:hAnsi="Times New Roman" w:cs="Times New Roman"/>
          <w:position w:val="-10"/>
          <w:sz w:val="24"/>
        </w:rPr>
        <w:object w:dxaOrig="6460" w:dyaOrig="320">
          <v:shape id="_x0000_i1033" type="#_x0000_t75" style="width:322.95pt;height:16.1pt" o:ole="">
            <v:imagedata r:id="rId21" o:title=""/>
          </v:shape>
          <o:OLEObject Type="Embed" ProgID="Equation.3" ShapeID="_x0000_i1033" DrawAspect="Content" ObjectID="_1570879039" r:id="rId22"/>
        </w:object>
      </w:r>
      <w:r w:rsidR="001637C4" w:rsidRPr="00F8639D">
        <w:rPr>
          <w:rFonts w:ascii="Times New Roman" w:hAnsi="Times New Roman" w:cs="Times New Roman"/>
          <w:sz w:val="24"/>
        </w:rPr>
        <w:tab/>
      </w:r>
      <w:r w:rsidR="001637C4" w:rsidRPr="00F8639D">
        <w:rPr>
          <w:rFonts w:ascii="Times New Roman" w:hAnsi="Times New Roman" w:cs="Times New Roman"/>
          <w:sz w:val="24"/>
        </w:rPr>
        <w:tab/>
      </w:r>
      <w:r w:rsidR="001637C4" w:rsidRPr="00F8639D">
        <w:rPr>
          <w:rFonts w:ascii="Times New Roman" w:hAnsi="Times New Roman" w:cs="Times New Roman"/>
          <w:sz w:val="24"/>
        </w:rPr>
        <w:tab/>
        <w:t>supp. eq. 9</w:t>
      </w:r>
      <w:r w:rsidR="001637C4" w:rsidRPr="00F8639D">
        <w:rPr>
          <w:rFonts w:ascii="Times New Roman" w:hAnsi="Times New Roman" w:cs="Times New Roman"/>
          <w:position w:val="-10"/>
          <w:sz w:val="24"/>
        </w:rPr>
        <w:object w:dxaOrig="6320" w:dyaOrig="320">
          <v:shape id="_x0000_i1034" type="#_x0000_t75" style="width:315.95pt;height:16.1pt" o:ole="">
            <v:imagedata r:id="rId23" o:title=""/>
          </v:shape>
          <o:OLEObject Type="Embed" ProgID="Equation.3" ShapeID="_x0000_i1034" DrawAspect="Content" ObjectID="_1570879040" r:id="rId24"/>
        </w:object>
      </w:r>
      <w:r w:rsidR="001637C4" w:rsidRPr="00F8639D">
        <w:rPr>
          <w:rFonts w:ascii="Times New Roman" w:hAnsi="Times New Roman" w:cs="Times New Roman"/>
          <w:sz w:val="24"/>
        </w:rPr>
        <w:tab/>
      </w:r>
      <w:r w:rsidR="001637C4" w:rsidRPr="00F8639D">
        <w:rPr>
          <w:rFonts w:ascii="Times New Roman" w:hAnsi="Times New Roman" w:cs="Times New Roman"/>
          <w:sz w:val="24"/>
        </w:rPr>
        <w:tab/>
      </w:r>
      <w:r w:rsidR="001637C4" w:rsidRPr="00F8639D">
        <w:rPr>
          <w:rFonts w:ascii="Times New Roman" w:hAnsi="Times New Roman" w:cs="Times New Roman"/>
          <w:sz w:val="24"/>
        </w:rPr>
        <w:tab/>
        <w:t>supp. eq. 10</w:t>
      </w:r>
      <w:r w:rsidR="001637C4" w:rsidRPr="00F8639D">
        <w:rPr>
          <w:rFonts w:ascii="Times New Roman" w:hAnsi="Times New Roman" w:cs="Times New Roman"/>
          <w:position w:val="-10"/>
          <w:sz w:val="24"/>
        </w:rPr>
        <w:object w:dxaOrig="7400" w:dyaOrig="320">
          <v:shape id="_x0000_i1035" type="#_x0000_t75" style="width:370.2pt;height:16.1pt" o:ole="">
            <v:imagedata r:id="rId25" o:title=""/>
          </v:shape>
          <o:OLEObject Type="Embed" ProgID="Equation.3" ShapeID="_x0000_i1035" DrawAspect="Content" ObjectID="_1570879041" r:id="rId26"/>
        </w:object>
      </w:r>
      <w:r w:rsidR="001637C4" w:rsidRPr="00F8639D">
        <w:rPr>
          <w:rFonts w:ascii="Times New Roman" w:hAnsi="Times New Roman" w:cs="Times New Roman"/>
          <w:sz w:val="24"/>
        </w:rPr>
        <w:tab/>
        <w:t>supp. eq. 11</w:t>
      </w:r>
      <w:r w:rsidR="001637C4" w:rsidRPr="00F8639D">
        <w:rPr>
          <w:rFonts w:ascii="Times New Roman" w:hAnsi="Times New Roman" w:cs="Times New Roman"/>
          <w:position w:val="-10"/>
          <w:sz w:val="24"/>
        </w:rPr>
        <w:object w:dxaOrig="6420" w:dyaOrig="320">
          <v:shape id="_x0000_i1036" type="#_x0000_t75" style="width:320.8pt;height:16.1pt" o:ole="">
            <v:imagedata r:id="rId27" o:title=""/>
          </v:shape>
          <o:OLEObject Type="Embed" ProgID="Equation.3" ShapeID="_x0000_i1036" DrawAspect="Content" ObjectID="_1570879042" r:id="rId28"/>
        </w:object>
      </w:r>
      <w:r w:rsidR="001637C4" w:rsidRPr="00F8639D">
        <w:rPr>
          <w:rFonts w:ascii="Times New Roman" w:hAnsi="Times New Roman" w:cs="Times New Roman"/>
          <w:sz w:val="24"/>
        </w:rPr>
        <w:tab/>
      </w:r>
      <w:r w:rsidR="001637C4" w:rsidRPr="00F8639D">
        <w:rPr>
          <w:rFonts w:ascii="Times New Roman" w:hAnsi="Times New Roman" w:cs="Times New Roman"/>
          <w:sz w:val="24"/>
        </w:rPr>
        <w:tab/>
      </w:r>
      <w:r w:rsidR="001637C4" w:rsidRPr="00F8639D">
        <w:rPr>
          <w:rFonts w:ascii="Times New Roman" w:hAnsi="Times New Roman" w:cs="Times New Roman"/>
          <w:sz w:val="24"/>
        </w:rPr>
        <w:tab/>
        <w:t>supp. eq. 12</w:t>
      </w:r>
      <w:r w:rsidR="001637C4" w:rsidRPr="00F8639D">
        <w:rPr>
          <w:rFonts w:ascii="Times New Roman" w:hAnsi="Times New Roman" w:cs="Times New Roman"/>
          <w:position w:val="-10"/>
          <w:sz w:val="24"/>
        </w:rPr>
        <w:object w:dxaOrig="7520" w:dyaOrig="320">
          <v:shape id="_x0000_i1037" type="#_x0000_t75" style="width:376.1pt;height:16.1pt" o:ole="">
            <v:imagedata r:id="rId29" o:title=""/>
          </v:shape>
          <o:OLEObject Type="Embed" ProgID="Equation.3" ShapeID="_x0000_i1037" DrawAspect="Content" ObjectID="_1570879043" r:id="rId30"/>
        </w:object>
      </w:r>
      <w:r w:rsidR="001637C4" w:rsidRPr="00F8639D">
        <w:rPr>
          <w:rFonts w:ascii="Times New Roman" w:hAnsi="Times New Roman" w:cs="Times New Roman"/>
          <w:sz w:val="24"/>
        </w:rPr>
        <w:tab/>
        <w:t>supp. eq. 13</w:t>
      </w:r>
    </w:p>
    <w:p w:rsidR="00E1421D" w:rsidRPr="00F8639D" w:rsidRDefault="00E1421D" w:rsidP="00E1421D">
      <w:pPr>
        <w:rPr>
          <w:rFonts w:ascii="Times New Roman" w:hAnsi="Times New Roman" w:cs="Times New Roman"/>
          <w:sz w:val="24"/>
        </w:rPr>
      </w:pPr>
      <w:r w:rsidRPr="00F8639D">
        <w:rPr>
          <w:rFonts w:ascii="Times New Roman" w:hAnsi="Times New Roman" w:cs="Times New Roman"/>
          <w:sz w:val="24"/>
        </w:rPr>
        <w:t xml:space="preserve">After conversion to </w:t>
      </w:r>
      <w:proofErr w:type="spellStart"/>
      <w:r w:rsidRPr="00F8639D">
        <w:rPr>
          <w:rFonts w:ascii="Times New Roman" w:hAnsi="Times New Roman" w:cs="Times New Roman"/>
          <w:sz w:val="24"/>
        </w:rPr>
        <w:t>Centiloid</w:t>
      </w:r>
      <w:proofErr w:type="spellEnd"/>
      <w:r w:rsidRPr="00F8639D">
        <w:rPr>
          <w:rFonts w:ascii="Times New Roman" w:hAnsi="Times New Roman" w:cs="Times New Roman"/>
          <w:sz w:val="24"/>
        </w:rPr>
        <w:t xml:space="preserve"> scale using the above equations, </w:t>
      </w:r>
      <w:proofErr w:type="spellStart"/>
      <w:r w:rsidRPr="00F8639D">
        <w:rPr>
          <w:rFonts w:ascii="Times New Roman" w:hAnsi="Times New Roman" w:cs="Times New Roman"/>
          <w:sz w:val="24"/>
        </w:rPr>
        <w:t>Centiloid</w:t>
      </w:r>
      <w:proofErr w:type="spellEnd"/>
      <w:r w:rsidRPr="00F8639D">
        <w:rPr>
          <w:rFonts w:ascii="Times New Roman" w:hAnsi="Times New Roman" w:cs="Times New Roman"/>
          <w:sz w:val="24"/>
        </w:rPr>
        <w:t xml:space="preserve"> values were also reported in Supp. Table 2.</w:t>
      </w:r>
      <w:bookmarkStart w:id="0" w:name="_GoBack"/>
      <w:bookmarkEnd w:id="0"/>
    </w:p>
    <w:p w:rsidR="001637C4" w:rsidRDefault="001637C4" w:rsidP="001637C4">
      <w:pPr>
        <w:ind w:right="440" w:firstLine="720"/>
        <w:jc w:val="right"/>
        <w:rPr>
          <w:rFonts w:ascii="Times New Roman" w:hAnsi="Times New Roman" w:cs="Times New Roman"/>
        </w:rPr>
      </w:pPr>
    </w:p>
    <w:p w:rsidR="001637C4" w:rsidRDefault="001637C4" w:rsidP="001637C4">
      <w:pPr>
        <w:ind w:right="440" w:firstLine="720"/>
        <w:jc w:val="right"/>
        <w:rPr>
          <w:rFonts w:ascii="Times New Roman" w:hAnsi="Times New Roman" w:cs="Times New Roman"/>
        </w:rPr>
      </w:pPr>
    </w:p>
    <w:p w:rsidR="001637C4" w:rsidRDefault="001637C4" w:rsidP="001637C4">
      <w:pPr>
        <w:ind w:right="440" w:firstLine="720"/>
        <w:jc w:val="right"/>
        <w:rPr>
          <w:rFonts w:ascii="Times New Roman" w:hAnsi="Times New Roman" w:cs="Times New Roman"/>
        </w:rPr>
      </w:pPr>
    </w:p>
    <w:p w:rsidR="00AA7728" w:rsidRPr="00AF3F38" w:rsidRDefault="00AA7728" w:rsidP="00AA7728">
      <w:pPr>
        <w:ind w:right="440" w:firstLine="720"/>
        <w:jc w:val="right"/>
        <w:rPr>
          <w:rFonts w:ascii="Times New Roman" w:hAnsi="Times New Roman" w:cs="Times New Roman"/>
        </w:rPr>
      </w:pPr>
    </w:p>
    <w:p w:rsidR="00AA7728" w:rsidRPr="00AF3F38" w:rsidRDefault="00AA7728" w:rsidP="00AA7728">
      <w:pPr>
        <w:jc w:val="right"/>
        <w:rPr>
          <w:rFonts w:ascii="Times New Roman" w:hAnsi="Times New Roman" w:cs="Times New Roman"/>
        </w:rPr>
      </w:pPr>
    </w:p>
    <w:p w:rsidR="00AA7728" w:rsidRPr="00AF3F38" w:rsidRDefault="00AA7728" w:rsidP="00AA7728">
      <w:pPr>
        <w:jc w:val="right"/>
        <w:rPr>
          <w:rFonts w:ascii="Times New Roman" w:hAnsi="Times New Roman" w:cs="Times New Roman"/>
        </w:rPr>
      </w:pPr>
    </w:p>
    <w:p w:rsidR="00AA7728" w:rsidRPr="00AF3F38" w:rsidRDefault="00AA7728" w:rsidP="00AA7728">
      <w:pPr>
        <w:jc w:val="right"/>
        <w:rPr>
          <w:rFonts w:ascii="Times New Roman" w:hAnsi="Times New Roman" w:cs="Times New Roman"/>
        </w:rPr>
      </w:pPr>
    </w:p>
    <w:p w:rsidR="00AA7728" w:rsidRPr="00AF3F38" w:rsidRDefault="00AA7728" w:rsidP="00AA7728">
      <w:pPr>
        <w:jc w:val="right"/>
        <w:rPr>
          <w:rFonts w:ascii="Times New Roman" w:hAnsi="Times New Roman" w:cs="Times New Roman"/>
        </w:rPr>
      </w:pPr>
    </w:p>
    <w:p w:rsidR="00F523E0" w:rsidRDefault="00F523E0" w:rsidP="00AA7728">
      <w:pPr>
        <w:jc w:val="right"/>
        <w:rPr>
          <w:rFonts w:ascii="Times New Roman" w:hAnsi="Times New Roman" w:cs="Times New Roman"/>
        </w:rPr>
      </w:pPr>
    </w:p>
    <w:p w:rsidR="00F523E0" w:rsidRDefault="00F523E0" w:rsidP="00AA7728">
      <w:pPr>
        <w:jc w:val="right"/>
        <w:rPr>
          <w:rFonts w:ascii="Times New Roman" w:hAnsi="Times New Roman" w:cs="Times New Roman"/>
        </w:rPr>
      </w:pPr>
    </w:p>
    <w:p w:rsidR="00F523E0" w:rsidRPr="00F523E0" w:rsidRDefault="00F523E0" w:rsidP="00F523E0">
      <w:pPr>
        <w:pStyle w:val="EndNoteBibliography"/>
        <w:jc w:val="left"/>
        <w:rPr>
          <w:rFonts w:ascii="Times New Roman" w:hAnsi="Times New Roman" w:cs="Times New Roman"/>
          <w:b/>
          <w:sz w:val="24"/>
        </w:rPr>
      </w:pPr>
      <w:r w:rsidRPr="00F523E0">
        <w:rPr>
          <w:rFonts w:ascii="Times New Roman" w:hAnsi="Times New Roman" w:cs="Times New Roman"/>
          <w:b/>
          <w:sz w:val="24"/>
        </w:rPr>
        <w:t>References</w:t>
      </w:r>
    </w:p>
    <w:p w:rsidR="00F523E0" w:rsidRPr="00F523E0" w:rsidRDefault="00F523E0" w:rsidP="00F523E0">
      <w:pPr>
        <w:pStyle w:val="EndNoteBibliography"/>
        <w:jc w:val="left"/>
        <w:rPr>
          <w:rFonts w:ascii="Times New Roman" w:hAnsi="Times New Roman" w:cs="Times New Roman"/>
        </w:rPr>
      </w:pPr>
      <w:r w:rsidRPr="00F523E0">
        <w:rPr>
          <w:rFonts w:ascii="Times New Roman" w:hAnsi="Times New Roman" w:cs="Times New Roman"/>
        </w:rPr>
        <w:fldChar w:fldCharType="begin"/>
      </w:r>
      <w:r w:rsidRPr="00F523E0">
        <w:rPr>
          <w:rFonts w:ascii="Times New Roman" w:hAnsi="Times New Roman" w:cs="Times New Roman"/>
        </w:rPr>
        <w:instrText xml:space="preserve"> ADDIN EN.REFLIST </w:instrText>
      </w:r>
      <w:r w:rsidRPr="00F523E0">
        <w:rPr>
          <w:rFonts w:ascii="Times New Roman" w:hAnsi="Times New Roman" w:cs="Times New Roman"/>
        </w:rPr>
        <w:fldChar w:fldCharType="separate"/>
      </w:r>
      <w:r w:rsidRPr="00F523E0">
        <w:rPr>
          <w:rFonts w:ascii="Times New Roman" w:hAnsi="Times New Roman" w:cs="Times New Roman"/>
        </w:rPr>
        <w:t>Klunk, W.E., Koeppe, R.A., Price, J.C., Benzinger, T.L., Devous, M.D., Sr., Jagust, W.J., Johnson, K.A., Mathis, C.A., Minhas, D., Pontecorvo, M.J., Rowe, C.C., Skovronsky, D.M., Mintun, M.A., 2015. The Centiloid Project: standardizing quantitative amyloid plaque estimation by PET. Alzheimers Dement 11, 1-15.e11-14.</w:t>
      </w:r>
    </w:p>
    <w:p w:rsidR="00AA7728" w:rsidRPr="00AF3F38" w:rsidRDefault="00F523E0" w:rsidP="00F523E0">
      <w:pPr>
        <w:rPr>
          <w:rFonts w:ascii="Times New Roman" w:hAnsi="Times New Roman" w:cs="Times New Roman"/>
        </w:rPr>
      </w:pPr>
      <w:r w:rsidRPr="00F523E0">
        <w:rPr>
          <w:rFonts w:ascii="Times New Roman" w:hAnsi="Times New Roman" w:cs="Times New Roman"/>
        </w:rPr>
        <w:fldChar w:fldCharType="end"/>
      </w:r>
    </w:p>
    <w:sectPr w:rsidR="00AA7728" w:rsidRPr="00A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TQztDQxtTAxMrA0NTVR0lEKTi0uzszPAykwqgUA4OJF8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euroimag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0fxx0za5ddsz6e2d9p5sv5grar9aswww0pv&quot;&gt;PaperArchive&lt;record-ids&gt;&lt;item&gt;3612&lt;/item&gt;&lt;/record-ids&gt;&lt;/item&gt;&lt;/Libraries&gt;"/>
  </w:docVars>
  <w:rsids>
    <w:rsidRoot w:val="00AF3F38"/>
    <w:rsid w:val="000C6928"/>
    <w:rsid w:val="001637C4"/>
    <w:rsid w:val="00531D03"/>
    <w:rsid w:val="00550BEF"/>
    <w:rsid w:val="00AA7728"/>
    <w:rsid w:val="00AF3F38"/>
    <w:rsid w:val="00E1421D"/>
    <w:rsid w:val="00E7544B"/>
    <w:rsid w:val="00F523E0"/>
    <w:rsid w:val="00F8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5:chartTrackingRefBased/>
  <w15:docId w15:val="{AF13619F-4386-4980-A4A4-7915B001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F523E0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523E0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F523E0"/>
    <w:pPr>
      <w:spacing w:line="240" w:lineRule="auto"/>
      <w:jc w:val="right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523E0"/>
    <w:rPr>
      <w:rFonts w:ascii="Calibri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3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Su, Yi</dc:creator>
  <cp:keywords/>
  <dc:description/>
  <cp:lastModifiedBy>Su, Yi</cp:lastModifiedBy>
  <cp:revision>5</cp:revision>
  <dcterms:created xsi:type="dcterms:W3CDTF">2017-09-11T16:04:00Z</dcterms:created>
  <dcterms:modified xsi:type="dcterms:W3CDTF">2017-10-30T19:30:00Z</dcterms:modified>
</cp:coreProperties>
</file>