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A71" w:rsidRPr="002373E6" w:rsidRDefault="00B55A71" w:rsidP="00B55A71">
      <w:pPr>
        <w:widowControl w:val="0"/>
        <w:autoSpaceDE w:val="0"/>
        <w:autoSpaceDN w:val="0"/>
        <w:adjustRightInd w:val="0"/>
        <w:spacing w:before="100" w:after="100"/>
        <w:ind w:left="640" w:hanging="640"/>
        <w:rPr>
          <w:rFonts w:ascii="Arial" w:hAnsi="Arial"/>
          <w:b/>
          <w:sz w:val="22"/>
        </w:rPr>
      </w:pPr>
      <w:r>
        <w:rPr>
          <w:rFonts w:ascii="Arial" w:hAnsi="Arial"/>
          <w:b/>
          <w:sz w:val="22"/>
        </w:rPr>
        <w:t>Supplemental Materials</w:t>
      </w:r>
    </w:p>
    <w:p w:rsidR="00B55A71" w:rsidRDefault="00B55A71" w:rsidP="00B55A71">
      <w:pPr>
        <w:widowControl w:val="0"/>
        <w:autoSpaceDE w:val="0"/>
        <w:autoSpaceDN w:val="0"/>
        <w:adjustRightInd w:val="0"/>
        <w:spacing w:before="100" w:after="100"/>
        <w:ind w:left="640" w:hanging="640"/>
        <w:rPr>
          <w:rFonts w:ascii="Arial" w:hAnsi="Arial"/>
          <w:sz w:val="22"/>
        </w:rPr>
      </w:pPr>
    </w:p>
    <w:p w:rsidR="00B55A71" w:rsidRDefault="00B55A71" w:rsidP="00B55A71">
      <w:pPr>
        <w:widowControl w:val="0"/>
        <w:autoSpaceDE w:val="0"/>
        <w:autoSpaceDN w:val="0"/>
        <w:adjustRightInd w:val="0"/>
        <w:spacing w:before="100" w:after="100" w:line="480" w:lineRule="auto"/>
        <w:ind w:left="640" w:hanging="640"/>
        <w:rPr>
          <w:rFonts w:ascii="Arial" w:hAnsi="Arial"/>
          <w:b/>
          <w:sz w:val="22"/>
        </w:rPr>
      </w:pPr>
      <w:r>
        <w:rPr>
          <w:rFonts w:ascii="Arial" w:hAnsi="Arial"/>
          <w:b/>
          <w:sz w:val="22"/>
        </w:rPr>
        <w:t>UK Biobank Phenotype Details</w:t>
      </w:r>
    </w:p>
    <w:p w:rsidR="00B55A71" w:rsidRDefault="00B55A71" w:rsidP="00B55A71">
      <w:pPr>
        <w:widowControl w:val="0"/>
        <w:autoSpaceDE w:val="0"/>
        <w:autoSpaceDN w:val="0"/>
        <w:adjustRightInd w:val="0"/>
        <w:spacing w:line="480" w:lineRule="auto"/>
        <w:ind w:firstLine="720"/>
        <w:rPr>
          <w:rFonts w:ascii="Arial" w:hAnsi="Arial"/>
          <w:sz w:val="22"/>
        </w:rPr>
      </w:pPr>
      <w:r>
        <w:rPr>
          <w:rFonts w:ascii="Arial" w:hAnsi="Arial"/>
          <w:sz w:val="22"/>
        </w:rPr>
        <w:t>We examined 26 traits from the UK Biobank broadly related to health, fitness, or sociodemographic characteristics:</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Age at first sexual intercourse</w:t>
      </w:r>
      <w:r>
        <w:rPr>
          <w:rFonts w:ascii="Arial" w:hAnsi="Arial"/>
          <w:sz w:val="22"/>
        </w:rPr>
        <w:t>: Field 2139 in the UK Biobank (sensitive information). Answers to the touchscreen interview question “</w:t>
      </w:r>
      <w:r w:rsidRPr="00D54CD1">
        <w:rPr>
          <w:rFonts w:ascii="Arial" w:hAnsi="Arial"/>
          <w:sz w:val="22"/>
        </w:rPr>
        <w:t>What was your age when you first had sexual intercourse? (Sexual intercourse includes vaginal, oral or anal intercourse)"</w:t>
      </w:r>
      <w:r>
        <w:rPr>
          <w:rFonts w:ascii="Arial" w:hAnsi="Arial"/>
          <w:sz w:val="22"/>
        </w:rPr>
        <w:t xml:space="preserve">. Units of measurement are years. Individuals who reported having had sex before 12 years of age were excluded from </w:t>
      </w:r>
      <w:r w:rsidR="003A10EA">
        <w:rPr>
          <w:rFonts w:ascii="Arial" w:hAnsi="Arial"/>
          <w:sz w:val="22"/>
        </w:rPr>
        <w:t>our</w:t>
      </w:r>
      <w:r>
        <w:rPr>
          <w:rFonts w:ascii="Arial" w:hAnsi="Arial"/>
          <w:sz w:val="22"/>
        </w:rPr>
        <w:t xml:space="preserve"> analyses.</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Basal metabolic rate (BMR)</w:t>
      </w:r>
      <w:r>
        <w:rPr>
          <w:rFonts w:ascii="Arial" w:hAnsi="Arial"/>
          <w:sz w:val="22"/>
        </w:rPr>
        <w:t>: Field 23105, body composition estimated with impedance measurement; units are KJ.</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Birth weight</w:t>
      </w:r>
      <w:r>
        <w:rPr>
          <w:rFonts w:ascii="Arial" w:hAnsi="Arial"/>
          <w:sz w:val="22"/>
        </w:rPr>
        <w:t>: Field 20022, from the verbal interview. Participants were asked to give their birth weight, with measurement units in kg. For the current analyses, we excluded individuals who reported a birth weight greater than 6.8 kg (~15 lbs), in an effort to exclude incorrect entries or unique situations that might reflect something beyond typical human variation.</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Probable bipolar episodes (BPD)</w:t>
      </w:r>
      <w:r>
        <w:rPr>
          <w:rFonts w:ascii="Arial" w:hAnsi="Arial"/>
          <w:sz w:val="22"/>
        </w:rPr>
        <w:t xml:space="preserve">: This measure was derived from Field 20126, which was in turn derived from Fields 20122 – 20125 by Prof. Jill Pell (more information at </w:t>
      </w:r>
      <w:r w:rsidRPr="00C5423B">
        <w:rPr>
          <w:rFonts w:ascii="Arial" w:hAnsi="Arial"/>
          <w:sz w:val="22"/>
        </w:rPr>
        <w:t>http://biobank.ctsu.ox.ac.uk/crystal/refer.cgi?id=158772</w:t>
      </w:r>
      <w:r>
        <w:rPr>
          <w:rFonts w:ascii="Arial" w:hAnsi="Arial"/>
          <w:sz w:val="22"/>
        </w:rPr>
        <w:t xml:space="preserve">). Briefly, individuals who completed all the touchscreen questions regarding these mental health symptoms were categorized into one of six categories: 0 = no bipolar or depression; 1 = Bipolar I; 2 = Bipolar II; 3 = Probable Recurrent major depression (severe); 4 = Probable Recurrent major depression (moderate); 5 = Single Probable major depression episode. If an individual’s responses resulted in their being coded as possessing more than one disorder, they were only categorized as their most severe condition (e.g. if an individual </w:t>
      </w:r>
      <w:r>
        <w:rPr>
          <w:rFonts w:ascii="Arial" w:hAnsi="Arial"/>
          <w:sz w:val="22"/>
        </w:rPr>
        <w:lastRenderedPageBreak/>
        <w:t xml:space="preserve">qualified for Bipolar II as well as probable severe recurrent major depression, they were coded as 2, Bipolar II, for derived Field 20126). For our analyses, any individual who was coded as either 1 or 2 (“Bipolar I” or “Bipolar II”) for Field 20126 was counted as a case (coded as ‘1’), and any individual coded as 0 (“No bipolar or depression”) was included as a control (‘0’).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Body mass index (BMI)</w:t>
      </w:r>
      <w:r>
        <w:rPr>
          <w:rFonts w:ascii="Arial" w:hAnsi="Arial"/>
          <w:sz w:val="22"/>
        </w:rPr>
        <w:t>: Field 21001, units in kg/m</w:t>
      </w:r>
      <w:r>
        <w:rPr>
          <w:rFonts w:ascii="Arial" w:hAnsi="Arial"/>
          <w:sz w:val="22"/>
          <w:vertAlign w:val="superscript"/>
        </w:rPr>
        <w:t>2</w:t>
      </w:r>
      <w:r>
        <w:rPr>
          <w:rFonts w:ascii="Arial" w:hAnsi="Arial"/>
          <w:sz w:val="22"/>
        </w:rPr>
        <w:t xml:space="preserve">.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Body fat percentage</w:t>
      </w:r>
      <w:r>
        <w:rPr>
          <w:rFonts w:ascii="Arial" w:hAnsi="Arial"/>
          <w:sz w:val="22"/>
        </w:rPr>
        <w:t xml:space="preserve">: Field 23099.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Diabetes diagnosed by a doctor</w:t>
      </w:r>
      <w:r>
        <w:rPr>
          <w:rFonts w:ascii="Arial" w:hAnsi="Arial"/>
          <w:sz w:val="22"/>
        </w:rPr>
        <w:t>: Field 2443. Individuals were given the options of “Yes”, “No”, “Prefer not to answer”, and “Do not know”. For the current study, individuals who responded “Yes” were included as cases (coded as ‘1’), and those who answered “No” were considered controls (‘0’).</w:t>
      </w:r>
    </w:p>
    <w:p w:rsidR="00B55A71" w:rsidRPr="00497A82" w:rsidRDefault="00B55A71" w:rsidP="00B55A71">
      <w:pPr>
        <w:widowControl w:val="0"/>
        <w:autoSpaceDE w:val="0"/>
        <w:autoSpaceDN w:val="0"/>
        <w:adjustRightInd w:val="0"/>
        <w:spacing w:line="480" w:lineRule="auto"/>
        <w:rPr>
          <w:rFonts w:ascii="Arial" w:hAnsi="Arial"/>
          <w:sz w:val="22"/>
        </w:rPr>
      </w:pPr>
      <w:r>
        <w:rPr>
          <w:rFonts w:ascii="Arial" w:hAnsi="Arial"/>
          <w:i/>
          <w:sz w:val="22"/>
        </w:rPr>
        <w:t>Breastfed as a baby</w:t>
      </w:r>
      <w:r>
        <w:rPr>
          <w:rFonts w:ascii="Arial" w:hAnsi="Arial"/>
          <w:sz w:val="22"/>
        </w:rPr>
        <w:t xml:space="preserve">: Field 1677 from the touchscreen interview, “Were you breastfed when you were a baby?” Possible responses were “Yes”, “No”, “Do not know”, “Prefer not to answer”. For the current study, we only included individuals who answered either “Yes” (coded as ‘1’), or “No” (coded as ‘0’). </w:t>
      </w:r>
    </w:p>
    <w:p w:rsidR="00B55A71" w:rsidRPr="005E203B" w:rsidRDefault="00B55A71" w:rsidP="00B55A71">
      <w:pPr>
        <w:widowControl w:val="0"/>
        <w:autoSpaceDE w:val="0"/>
        <w:autoSpaceDN w:val="0"/>
        <w:adjustRightInd w:val="0"/>
        <w:spacing w:line="480" w:lineRule="auto"/>
        <w:rPr>
          <w:rFonts w:ascii="Arial" w:hAnsi="Arial"/>
          <w:sz w:val="22"/>
        </w:rPr>
      </w:pPr>
      <w:r>
        <w:rPr>
          <w:rFonts w:ascii="Arial" w:hAnsi="Arial"/>
          <w:i/>
          <w:sz w:val="22"/>
        </w:rPr>
        <w:t>Completed college/university</w:t>
      </w:r>
      <w:r>
        <w:rPr>
          <w:rFonts w:ascii="Arial" w:hAnsi="Arial"/>
          <w:sz w:val="22"/>
        </w:rPr>
        <w:t>: This measure was derived from years of educational attainment, which is discussed in more detail below. Briefly, individuals who reported having a college or university degree were coded as ‘1’, and those who did not were coded as ‘0’.</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Diastolic blood pressure (BP)</w:t>
      </w:r>
      <w:r>
        <w:rPr>
          <w:rFonts w:ascii="Arial" w:hAnsi="Arial"/>
          <w:sz w:val="22"/>
        </w:rPr>
        <w:t>: From Field 4079, which included two automated diastolic blood pressure readings, taken a few moments apart. For this analysis, we took the average of the two readings (or just included one reading, if only one was given) for each individual, and excluded those with an average diastolic BP reading &gt; 120 mmHg (the American Heart Association classifies a diastolic BP reading &gt; 110 mmHg as a hypertensive crisis, requiring immediate emergency care).</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Educational attainment</w:t>
      </w:r>
      <w:r>
        <w:rPr>
          <w:rFonts w:ascii="Arial" w:hAnsi="Arial"/>
          <w:sz w:val="22"/>
        </w:rPr>
        <w:t xml:space="preserve">: Derived from Field 6138, “Qualifications”, during the </w:t>
      </w:r>
      <w:r>
        <w:rPr>
          <w:rFonts w:ascii="Arial" w:hAnsi="Arial"/>
          <w:sz w:val="22"/>
        </w:rPr>
        <w:lastRenderedPageBreak/>
        <w:t xml:space="preserve">touchscreen interview. Individuals were asked “Which of the following qualifications do you have? (You can select more than one)”, and could choose from among the following possible responses: College or University degree; A levels/AS levels or equivalent; O levels/GCSEs or equivalent; CSEs or equivalent; NVQ or HND or HNC or equivalent; Other professional qualifications eg: nursing, teaching; None of the above; Prefer not to answer. For the current study, we extracted each individual’s highest level of education completed, converted those qualifications to International Standard Classification of Education (ISCED) codes, and then translated each individual’s ISCED code into years of educational attainment as in Supplementary Table 1.14 of Okbay et al. (2016) </w:t>
      </w:r>
      <w:r>
        <w:rPr>
          <w:rFonts w:ascii="Arial" w:hAnsi="Arial"/>
          <w:sz w:val="22"/>
        </w:rPr>
        <w:fldChar w:fldCharType="begin" w:fldLock="1"/>
      </w:r>
      <w:r>
        <w:rPr>
          <w:rFonts w:ascii="Arial" w:hAnsi="Arial"/>
          <w:sz w:val="22"/>
        </w:rPr>
        <w:instrText>ADDIN CSL_CITATION { "citationItems" : [ { "id" : "ITEM-1", "itemData" : { "DOI" : "10.1038/nature17671", "ISBN" : "0008-5472 (Print)\\r0008-5472 (Linking)", "ISSN" : "0028-0836", "PMID" : "11507039", "abstract" : "Educational attainment is strongly influenced by social and other environmental factors, but genetic factors are estimated to account for at least 20% of the variation across individuals1. Here we report the results of a genome-wide association study (GWAS) for educational attainment that extends our earlier discovery sample1,2 of 101,069 individuals to 293,723 individuals, and a replication study in an independent sample of 111,349 individuals from the UK Biobank. We identify 74 genome-wide significant loci associated with the number of years of schooling completed. Single- nucleotide polymorphisms associated with educational attainment are disproportionately found in genomic regions regulating gene expression in the fetal brain. Candidate genes are preferentially expressed in neural tissue, especially during the prenatal period, and enriched for biological pathways involved in neural development. Our findings demonstrate that, even for a behavioural phenotype that is mostly environmentally determined, a well-powered GWAS identifies replicable associated genetic variants that suggest biologically relevant pathways. Because educational attainment is measured in large numbers of individuals, it will continue to be useful as a proxy phenotype in efforts to characterize the genetic influences of related phenotypes, including cognition and neuropsychiatric", "author" : [ { "dropping-particle" : "", "family" : "Okbay", "given" : "Aysu", "non-dropping-particle" : "", "parse-names" : false, "suffix" : "" }, { "dropping-particle" : "", "family" : "Beauchamp", "given" : "Jonathan P.", "non-dropping-particle" : "", "parse-names" : false, "suffix" : "" }, { "dropping-particle" : "", "family" : "Fontana", "given" : "Mark Alan", "non-dropping-particle" : "", "parse-names" : false, "suffix" : "" }, { "dropping-particle" : "", "family" : "Lee", "given" : "James J.", "non-dropping-particle" : "", "parse-names" : false, "suffix" : "" }, { "dropping-particle" : "", "family" : "Pers", "given" : "Tune H.", "non-dropping-particle" : "", "parse-names" : false, "suffix" : "" }, { "dropping-particle" : "", "family" : "Rietveld", "given" : "Cornelius A.", "non-dropping-particle" : "", "parse-names" : false, "suffix" : "" }, { "dropping-particle" : "", "family" : "Turley", "given" : "Patrick", "non-dropping-particle" : "", "parse-names" : false, "suffix" : "" }, { "dropping-particle" : "", "family" : "Chen", "given" : "Guo-Bo", "non-dropping-particle" : "", "parse-names" : false, "suffix" : "" }, { "dropping-particle" : "", "family" : "Emilsson", "given" : "Valur", "non-dropping-particle" : "", "parse-names" : false, "suffix" : "" }, { "dropping-particle" : "", "family" : "Meddens", "given" : "S. Fleur W.", "non-dropping-particle" : "", "parse-names" : false, "suffix" : "" }, { "dropping-particle" : "", "family" : "Oskarsson", "given" : "Sven", "non-dropping-particle" : "", "parse-names" : false, "suffix" : "" }, { "dropping-particle" : "", "family" : "Pickrell", "given" : "Joseph K.", "non-dropping-particle" : "", "parse-names" : false, "suffix" : "" }, { "dropping-particle" : "", "family" : "Thom", "given" : "Kevin", "non-dropping-particle" : "", "parse-names" : false, "suffix" : "" }, { "dropping-particle" : "", "family" : "Timshel", "given" : "Pascal", "non-dropping-particle" : "", "parse-names" : false, "suffix" : "" }, { "dropping-particle" : "", "family" : "Vlaming", "given" : "Ronald", "non-dropping-particle" : "de", "parse-names" : false, "suffix" : "" }, { "dropping-particle" : "", "family" : "Abdellaoui", "given" : "Abdel", "non-dropping-particle" : "", "parse-names" : false, "suffix" : "" }, { "dropping-particle" : "", "family" : "Ahluwalia", "given" : "Tarunveer S.", "non-dropping-particle" : "", "parse-names" : false, "suffix" : "" }, { "dropping-particle" : "", "family" : "Bacelis", "given" : "Jonas", "non-dropping-particle" : "", "parse-names" : false, "suffix" : "" }, { "dropping-particle" : "", "family" : "Baumbach", "given" : "Clemens", "non-dropping-particle" : "", "parse-names" : false, "suffix" : "" }, { "dropping-particle" : "", "family" : "Bjornsdottir", "given" : "Gyda", "non-dropping-particle" : "", "parse-names" : false, "suffix" : "" }, { "dropping-particle" : "", "family" : "Brandsma", "given" : "Johannes H.", "non-dropping-particle" : "", "parse-names" : false, "suffix" : "" }, { "dropping-particle" : "", "family" : "Pina Concas", "given" : "Maria", "non-dropping-particle" : "", "parse-names" : false, "suffix" : "" }, { "dropping-particle" : "", "family" : "Derringer", "given" : "Jaime", "non-dropping-particle" : "", "parse-names" : false, "suffix" : "" }, { "dropping-particle" : "", "family" : "Furlotte", "given" : "Nicholas A.", "non-dropping-particle" : "", "parse-names" : false, "suffix" : "" }, { "dropping-particle" : "", "family" : "Galesloot", "given" : "Tessel E.", "non-dropping-particle" : "", "parse-names" : false, "suffix" : "" }, { "dropping-particle" : "", "family" : "Girotto", "given" : "Giorgia", "non-dropping-particle" : "", "parse-names" : false, "suffix" : "" }, { "dropping-particle" : "", "family" : "Gupta", "given" : "Richa", "non-dropping-particle" : "", "parse-names" : false, "suffix" : "" }, { "dropping-particle" : "", "family" : "Hall", "given" : "Leanne M.", "non-dropping-particle" : "", "parse-names" : false, "suffix" : "" }, { "dropping-particle" : "", "family" : "Harris", "given" : "Sarah E.", "non-dropping-particle" : "", "parse-names" : false, "suffix" : "" }, { "dropping-particle" : "", "family" : "Hofer", "given" : "Edith", "non-dropping-particle" : "", "parse-names" : false, "suffix" : "" }, { "dropping-particle" : "", "family" : "Horikoshi", "given" : "Momoko", "non-dropping-particle" : "", "parse-names" : false, "suffix" : "" }, { "dropping-particle" : "", "family" : "Huffman", "given" : "Jennifer E.", "non-dropping-particle" : "", "parse-names" : false, "suffix" : "" }, { "dropping-particle" : "", "family" : "Kaasik", "given" : "Kadri", "non-dropping-particle" : "", "parse-names" : false, "suffix" : "" }, { "dropping-particle" : "", "family" : "Kalafati", "given" : "Ioanna P.", "non-dropping-particle" : "", "parse-names" : false, "suffix" : "" }, { "dropping-particle" : "", "family" : "Karlsson", "given" : "Robert", "non-dropping-particle" : "", "parse-names" : false, "suffix" : "" }, { "dropping-particle" : "", "family" : "Kong", "given" : "Augustine", "non-dropping-particle" : "", "parse-names" : false, "suffix" : "" }, { "dropping-particle" : "", "family" : "Lahti", "given" : "Jari", "non-dropping-particle" : "", "parse-names" : false, "suffix" : "" }, { "dropping-particle" : "van der", "family" : "Lee", "given" : "Sven J.", "non-dropping-particle" : "", "parse-names" : false, "suffix" : "" }, { "dropping-particle" : "", "family" : "deLeeuw", "given" : "Christiaan", "non-dropping-particle" : "", "parse-names" : false, "suffix" : "" }, { "dropping-particle" : "", "family" : "Lind", "given" : "Penelope A.", "non-dropping-particle" : "", "parse-names" : false, "suffix" : "" }, { "dropping-particle" : "", "family" : "Lindgren", "given" : "Karl-Oskar", "non-dropping-particle" : "", "parse-names" : false, "suffix" : "" }, { "dropping-particle" : "", "family" : "Liu", "given" : "Tian", "non-dropping-particle" : "", "parse-names" : false, "suffix" : "" }, { "dropping-particle" : "", "family" : "Mangino", "given" : "Massimo", "non-dropping-particle" : "", "parse-names" : false, "suffix" : "" }, { "dropping-particle" : "", "family" : "Marten", "given" : "Jonathan", "non-dropping-particle" : "", "parse-names" : false, "suffix" : "" }, { "dropping-particle" : "", "family" : "Mihailov", "given" : "Evelin", "non-dropping-particle" : "", "parse-names" : false, "suffix" : "" }, { "dropping-particle" : "", "family" : "Miller", "given" : "Michael B.", "non-dropping-particle" : "", "parse-names" : false, "suffix" : "" }, { "dropping-particle" : "", "family" : "Most", "given" : "Peter J.", "non-dropping-particle" : "van der", "parse-names" : false, "suffix" : "" }, { "dropping-particle" : "", "family" : "Oldmeadow", "given" : "Christopher", "non-dropping-particle" : "", "parse-names" : false, "suffix" : "" }, { "dropping-particle" : "", "family" : "Payton", "given" : "Antony", "non-dropping-particle" : "", "parse-names" : false, "suffix" : "" }, { "dropping-particle" : "", "family" : "Pervjakova", "given" : "Natalia", "non-dropping-particle" : "", "parse-names" : false, "suffix" : "" }, { "dropping-particle" : "", "family" : "Peyrot", "given" : "Wouter J.", "non-dropping-particle" : "", "parse-names" : false, "suffix" : "" }, { "dropping-particle" : "", "family" : "Qian", "given" : "Yong", "non-dropping-particle" : "", "parse-names" : false, "suffix" : "" }, { "dropping-particle" : "", "family" : "Raitakari", "given" : "Olli", "non-dropping-particle" : "", "parse-names" : false, "suffix" : "" }, { "dropping-particle" : "", "family" : "Rueedi", "given" : "Rico", "non-dropping-particle" : "", "parse-names" : false, "suffix" : "" }, { "dropping-particle" : "", "family" : "Salvi", "given" : "Erika", "non-dropping-particle" : "", "parse-names" : false, "suffix" : "" }, { "dropping-particle" : "", "family" : "Schmidt", "given" : "B\u00f6rge", "non-dropping-particle" : "", "parse-names" : false, "suffix" : "" }, { "dropping-particle" : "", "family" : "Schraut", "given" : "Katharina E.", "non-dropping-particle" : "", "parse-names" : false, "suffix" : "" }, { "dropping-particle" : "", "family" : "Shi", "given" : "Jianxin", "non-dropping-particle" : "", "parse-names" : false, "suffix" : "" }, { "dropping-particle" : "V.", "family" : "Smith", "given" : "Albert", "non-dropping-particle" : "", "parse-names" : false, "suffix" : "" }, { "dropping-particle" : "", "family" : "Poot", "given" : "Raymond A.", "non-dropping-particle" : "", "parse-names" : false, "suffix" : "" }, { "dropping-particle" : "", "family" : "St Pourcain", "given" : "Beate", "non-dropping-particle" : "", "parse-names" : false, "suffix" : "" }, { "dropping-particle" : "", "family" : "Teumer", "given" : "Alexander", "non-dropping-particle" : "", "parse-names" : false, "suffix" : "" }, { "dropping-particle" : "", "family" : "Thorleifsson", "given" : "Gudmar", "non-dropping-particle" : "", "parse-names" : false, "suffix" : "" }, { "dropping-particle" : "", "family" : "Verweij", "given" : "Niek", "non-dropping-particle" : "", "parse-names" : false, "suffix" : "" }, { "dropping-particle" : "", "family" : "Vuckovic", "given" : "Dragana", "non-dropping-particle" : "", "parse-names" : false, "suffix" : "" }, { "dropping-particle" : "", "family" : "Wellmann", "given" : "Juergen", "non-dropping-particle" : "", "parse-names" : false, "suffix" : "" }, { "dropping-particle" : "", "family" : "Westra", "given" : "Harm-Jan", "non-dropping-particle" : "", "parse-names" : false, "suffix" : "" }, { "dropping-particle" : "", "family" : "Yang", "given" : "Jingyun", "non-dropping-particle" : "", "parse-names" : false, "suffix" : "" }, { "dropping-particle" : "", "family" : "Zhao", "given" : "Wei", "non-dropping-particle" : "", "parse-names" : false, "suffix" : "" }, { "dropping-particle" : "", "family" : "Zhu", "given" : "Zhihong", "non-dropping-particle" : "", "parse-names" : false, "suffix" : "" }, { "dropping-particle" : "", "family" : "Alizadeh", "given" : "Behrooz Z.", "non-dropping-particle" : "", "parse-names" : false, "suffix" : "" }, { "dropping-particle" : "", "family" : "Amin", "given" : "Najaf", "non-dropping-particle" : "", "parse-names" : false, "suffix" : "" }, { "dropping-particle" : "", "family" : "Bakshi", "given" : "Andrew", "non-dropping-particle" : "", "parse-names" : false, "suffix" : "" }, { "dropping-particle" : "", "family" : "Baumeister", "given" : "Sebastian E.", "non-dropping-particle" : "", "parse-names" : false, "suffix" : "" }, { "dropping-particle" : "", "family" : "Biino", "given" : "Ginevra", "non-dropping-particle" : "", "parse-names" : false, "suffix" : "" }, { "dropping-particle" : "", "family" : "B\u00f8nnelykke", "given" : "Klaus", "non-dropping-particle" : "", "parse-names" : false, "suffix" : "" }, { "dropping-particle" : "", "family" : "Boyle", "given" : "Patricia A.", "non-dropping-particle" : "", "parse-names" : false, "suffix" : "" }, { "dropping-particle" : "", "family" : "Campbell", "given" : "Harry", "non-dropping-particle" : "", "parse-names" : false, "suffix" : "" }, { "dropping-particle" : "", "family" : "Cappuccio", "given" : "Francesco P.", "non-dropping-particle" : "", "parse-names" : false, "suffix" : "" }, { "dropping-particle" : "", "family" : "Davies", "given" : "Gail", "non-dropping-particle" : "", "parse-names" : false, "suffix" : "" }, { "dropping-particle" : "", "family" : "Neve", "given" : "Jan-Emmanuel", "non-dropping-particle" : "De", "parse-names" : false, "suffix" : "" }, { "dropping-particle" : "", "family" : "Deloukas", "given" : "Panos", "non-dropping-particle" : "", "parse-names" : false, "suffix" : "" }, { "dropping-particle" : "", "family" : "Demuth", "given" : "Ilja", "non-dropping-particle" : "", "parse-names" : false, "suffix" : "" }, { "dropping-particle" : "", "family" : "Ding", "given" : "Jun", "non-dropping-particle" : "", "parse-names" : false, "suffix" : "" }, { "dropping-particle" : "", "family" : "Eibich", "given" : "Peter", "non-dropping-particle" : "", "parse-names" : false, "suffix" : "" }, { "dropping-particle" : "", "family" : "Eisele", "given" : "Lewin", "non-dropping-particle" : "", "parse-names" : false, "suffix" : "" }, { "dropping-particle" : "", "family" : "Eklund", "given" : "Niina", "non-dropping-particle" : "", "parse-names" : false, "suffix" : "" }, { "dropping-particle" : "", "family" : "Evans", "given" : "David M.", "non-dropping-particle" : "", "parse-names" : false, "suffix" : "" }, { "dropping-particle" : "", "family" : "Faul", "given" : "Jessica D.", "non-dropping-particle" : "", "parse-names" : false, "suffix" : "" }, { "dropping-particle" : "", "family" : "Feitosa", "given" : "Mary F.", "non-dropping-particle" : "", "parse-names" : false, "suffix" : "" }, { "dropping-particle" : "", "family" : "Forstner", "given" : "Andreas J.", "non-dropping-particle" : "", "parse-names" : false, "suffix" : "" }, { "dropping-particle" : "", "family" : "Gandin", "given" : "Ilaria", "non-dropping-particle" : "", "parse-names" : false, "suffix" : "" }, { "dropping-particle" : "", "family" : "Gunnarsson", "given" : "Bjarni", "non-dropping-particle" : "", "parse-names" : false, "suffix" : "" }, { "dropping-particle" : "V.", "family" : "Halld\u00f3rsson", "given" : "Bjarni", "non-dropping-particle" : "", "parse-names" : false, "suffix" : "" }, { "dropping-particle" : "", "family" : "Harris", "given" : "Tamara B.", "non-dropping-particle" : "", "parse-names" : false, "suffix" : "" }, { "dropping-particle" : "", "family" : "Heath", "given" : "Andrew C.", "non-dropping-particle" : "", "parse-names" : false, "suffix" : "" }, { "dropping-particle" : "", "family" : "Hocking", "given" : "Lynne J.", "non-dropping-particle" : "", "parse-names" : false, "suffix" : "" }, { "dropping-particle" : "", "family" : "Holliday", "given" : "Elizabeth G.", "non-dropping-particle" : "", "parse-names" : false, "suffix" : "" }, { "dropping-particle" : "", "family" : "Homuth", "given" : "Georg", "non-dropping-particle" : "", "parse-names" : false, "suffix" : "" }, { "dropping-particle" : "", "family" : "Horan", "given" : "Michael A.", "non-dropping-particle" : "", "parse-names" : false, "suffix" : "" }, { "dropping-particle" : "", "family" : "Hottenga", "given" : "Jouke-Jan", "non-dropping-particle" : "", "parse-names" : false, "suffix" : "" }, { "dropping-particle" : "", "family" : "Jager", "given" : "Philip L.", "non-dropping-particle" : "de", "parse-names" : false, "suffix" : "" }, { "dropping-particle" : "", "family" : "Joshi", "given" : "Peter K.", "non-dropping-particle" : "", "parse-names" : false, "suffix" : "" }, { "dropping-particle" : "", "family" : "Jugessur", "given" : "Astanand", "non-dropping-particle" : "", "parse-names" : false, "suffix" : "" }, { "dropping-particle" : "", "family" : "Kaakinen", "given" : "Marika A.", "non-dropping-particle" : "", "parse-names" : false, "suffix" : "" }, { "dropping-particle" : "", "family" : "K\u00e4h\u00f6nen", "given" : "Mika", "non-dropping-particle" : "", "parse-names" : false, "suffix" : "" }, { "dropping-particle" : "", "family" : "Kanoni", "given" : "Stavroula", "non-dropping-particle" : "", "parse-names" : false, "suffix" : "" }, { "dropping-particle" : "", "family" : "Keltigangas-J\u00e4rvinen", "given" : "Liisa", "non-dropping-particle" : "", "parse-names" : false, "suffix" : "" }, { "dropping-particle" : "", "family" : "Kiemeney", "given" : "Lambertus A. L. M.", "non-dropping-particle" : "", "parse-names" : false, "suffix" : "" }, { "dropping-particle" : "", "family" : "Kolcic", "given" : "Ivana", "non-dropping-particle" : "", "parse-names" : false, "suffix" : "" }, { "dropping-particle" : "", "family" : "Koskinen", "given" : "Seppo", "non-dropping-particle" : "", "parse-names" : false, "suffix" : "" }, { "dropping-particle" : "", "family" : "Kraja", "given" : "Aldi T.", "non-dropping-particle" : "", "parse-names" : false, "suffix" : "" }, { "dropping-particle" : "", "family" : "Kroh", "given" : "Martin", "non-dropping-particle" : "", "parse-names" : false, "suffix" : "" }, { "dropping-particle" : "", "family" : "Kutalik", "given" : "Zoltan", "non-dropping-particle" : "", "parse-names" : false, "suffix" : "" }, { "dropping-particle" : "", "family" : "Latvala", "given" : "Antti", "non-dropping-particle" : "", "parse-names" : false, "suffix" : "" }, { "dropping-particle" : "", "family" : "Launer", "given" : "Lenore J.", "non-dropping-particle" : "", "parse-names" : false, "suffix" : "" }, { "dropping-particle" : "", "family" : "Lebreton", "given" : "Ma\u00ebl P.", "non-dropping-particle" : "", "parse-names" : false, "suffix" : "" }, { "dropping-particle" : "", "family" : "Levinson", "given" : "Douglas F.", "non-dropping-particle" : "", "parse-names" : false, "suffix" : "" }, { "dropping-particle" : "", "family" : "Lichtenstein", "given" : "Paul", "non-dropping-particle" : "", "parse-names" : false, "suffix" : "" }, { "dropping-particle" : "", "family" : "Lichtner", "given" : "Peter", "non-dropping-particle" : "", "parse-names" : false, "suffix" : "" }, { "dropping-particle" : "", "family" : "Liewald", "given" : "David C. M.", "non-dropping-particle" : "", "parse-names" : false, "suffix" : "" }, { "dropping-particle" : "", "family" : "Cohort Study", "given" : "LifeLines", "non-dropping-particle" : "", "parse-names" : false, "suffix" : "" }, { "dropping-particle" : "", "family" : "Loukola", "given" : "Anu", "non-dropping-particle" : "", "parse-names" : false, "suffix" : "" }, { "dropping-particle" : "", "family" : "Madden", "given" : "Pamela A.", "non-dropping-particle" : "", "parse-names" : false, "suffix" : "" }, { "dropping-particle" : "", "family" : "M\u00e4gi", "given" : "Reedik", "non-dropping-particle" : "", "parse-names" : false, "suffix" : "" }, { "dropping-particle" : "", "family" : "M\u00e4ki-Opas", "given" : "Tomi", "non-dropping-particle" : "", "parse-names" : false, "suffix" : "" }, { "dropping-particle" : "", "family" : "Marioni", "given" : "Riccardo E.", "non-dropping-particle" : "", "parse-names" : false, "suffix" : "" }, { "dropping-particle" : "", "family" : "Marques-Vidal", "given" : "Pedro", "non-dropping-particle" : "", "parse-names" : false, "suffix" : "" }, { "dropping-particle" : "", "family" : "Meddens", "given" : "Gerardus A.", "non-dropping-particle" : "", "parse-names" : false, "suffix" : "" }, { "dropping-particle" : "", "family" : "McMahon", "given" : "George", "non-dropping-particle" : "", "parse-names" : false, "suffix" : "" }, { "dropping-particle" : "", "family" : "Meisinger", "given" : "Christa", "non-dropping-particle" : "", "parse-names" : false, "suffix" : "" }, { "dropping-particle" : "", "family" : "Meitinger", "given" : "Thomas", "non-dropping-particle" : "", "parse-names" : false, "suffix" : "" }, { "dropping-particle" : "", "family" : "Milaneschi", "given" : "Yusplitri", "non-dropping-particle" : "", "parse-names" : false, "suffix" : "" }, { "dropping-particle" : "", "family" : "Milani", "given" : "Lili", "non-dropping-particle" : "", "parse-names" : false, "suffix" : "" }, { "dropping-particle" : "", "family" : "Montgomery", "given" : "Grant W.", "non-dropping-particle" : "", "parse-names" : false, "suffix" : "" }, { "dropping-particle" : "", "family" : "Myhre", "given" : "Ronny", "non-dropping-particle" : "", "parse-names" : false, "suffix" : "" }, { "dropping-particle" : "", "family" : "Nelson", "given" : "Christopher P.", "non-dropping-particle" : "", "parse-names" : false, "suffix" : "" }, { "dropping-particle" : "", "family" : "Nyholt", "given" : "Dale R.", "non-dropping-particle" : "", "parse-names" : false, "suffix" : "" }, { "dropping-particle" : "", "family" : "Ollier", "given" : "William E. R.", "non-dropping-particle" : "", "parse-names" : false, "suffix" : "" }, { "dropping-particle" : "", "family" : "Palotie", "given" : "Aarno", "non-dropping-particle" : "", "parse-names" : false, "suffix" : "" }, { "dropping-particle" : "", "family" : "Paternoster", "given" : "Lavinia", "non-dropping-particle" : "", "parse-names" : false, "suffix" : "" }, { "dropping-particle" : "", "family" : "Pedersen", "given" : "Nancy L.", "non-dropping-particle" : "", "parse-names" : false, "suffix" : "" }, { "dropping-particle" : "", "family" : "Petrovic", "given" : "Katja E.", "non-dropping-particle" : "", "parse-names" : false, "suffix" : "" }, { "dropping-particle" : "", "family" : "Porteous", "given" : "David J.", "non-dropping-particle" : "", "parse-names" : false, "suffix" : "" }, { "dropping-particle" : "", "family" : "R\u00e4ikk\u00f6nen", "given" : "Katri", "non-dropping-particle" : "", "parse-names" : false, "suffix" : "" }, { "dropping-particle" : "", "family" : "Ring", "given" : "Susan M.", "non-dropping-particle" : "", "parse-names" : false, "suffix" : "" }, { "dropping-particle" : "", "family" : "Robino", "given" : "Antonietta", "non-dropping-particle" : "", "parse-names" : false, "suffix" : "" }, { "dropping-particle" : "", "family" : "Rostapshova", "given" : "Olga", "non-dropping-particle" : "", "parse-names" : false, "suffix" : "" }, { "dropping-particle" : "", "family" : "Rudan", "given" : "Igor", "non-dropping-particle" : "", "parse-names" : false, "suffix" : "" }, { "dropping-particle" : "", "family" : "Rustichini", "given" : "Aldo", "non-dropping-particle" : "", "parse-names" : false, "suffix" : "" }, { "dropping-particle" : "", "family" : "Salomaa", "given" : "Veikko", "non-dropping-particle" : "", "parse-names" : false, "suffix" : "" }, { "dropping-particle" : "", "family" : "Sanders", "given" : "Alan R.", "non-dropping-particle" : "", "parse-names" : false, "suffix" : "" }, { "dropping-particle" : "", "family" : "Sarin", "given" : "Antti-Pekka", "non-dropping-particle" : "", "parse-names" : false, "suffix" : "" }, { "dropping-particle" : "", "family" : "Schmidt", "given" : "Helena", "non-dropping-particle" : "", "parse-names" : false, "suffix" : "" }, { "dropping-particle" : "", "family" : "Scott", "given" : "Rodney J.", "non-dropping-particle" : "", "parse-names" : false, "suffix" : "" }, { "dropping-particle" : "", "family" : "Smith", "given" : "Blair H.", "non-dropping-particle" : "", "parse-names" : false, "suffix" : "" }, { "dropping-particle" : "", "family" : "Smith", "given" : "Jennifer A.", "non-dropping-particle" : "", "parse-names" : false, "suffix" : "" }, { "dropping-particle" : "", "family" : "Staessen", "given" : "Jan A.", "non-dropping-particle" : "", "parse-names" : false, "suffix" : "" }, { "dropping-particle" : "", "family" : "Steinhagen-Thiessen", "given" : "Elisabeth", "non-dropping-particle" : "", "parse-names" : false, "suffix" : "" }, { "dropping-particle" : "", "family" : "Strauch", "given" : "Konstantin", "non-dropping-particle" : "", "parse-names" : false, "suffix" : "" }, { "dropping-particle" : "", "family" : "Terracciano", "given" : "Antonio", "non-dropping-particle" : "", "parse-names" : false, "suffix" : "" }, { "dropping-particle" : "", "family" : "Tobin", "given" : "Martin D.", "non-dropping-particle" : "", "parse-names" : false, "suffix" : "" }, { "dropping-particle" : "", "family" : "Ulivi", "given" : "Sheila", "non-dropping-particle" : "", "parse-names" : false, "suffix" : "" }, { "dropping-particle" : "", "family" : "Vaccargiu", "given" : "Simona", "non-dropping-particle" : "", "parse-names" : false, "suffix" : "" }, { "dropping-particle" : "", "family" : "Quaye", "given" : "Lydia", "non-dropping-particle" : "", "parse-names" : false, "suffix" : "" }, { "dropping-particle" : "", "family" : "Rooij", "given" : "Frank J. A.", "non-dropping-particle" : "van", "parse-names" : false, "suffix" : "" }, { "dropping-particle" : "", "family" : "Venturini", "given" : "Cristina", "non-dropping-particle" : "", "parse-names" : false, "suffix" : "" }, { "dropping-particle" : "", "family" : "Vinkhuyzen", "given" : "Anna A. E.", "non-dropping-particle" : "", "parse-names" : false, "suffix" : "" }, { "dropping-particle" : "", "family" : "V\u00f6lker", "given" : "Uwe", "non-dropping-particle" : "", "parse-names" : false, "suffix" : "" }, { "dropping-particle" : "", "family" : "V\u00f6lzke", "given" : "Henry", "non-dropping-particle" : "", "parse-names" : false, "suffix" : "" }, { "dropping-particle" : "", "family" : "Vonk", "given" : "Judith M.", "non-dropping-particle" : "", "parse-names" : false, "suffix" : "" }, { "dropping-particle" : "", "family" : "Vozzi", "given" : "Diego", "non-dropping-particle" : "", "parse-names" : false, "suffix" : "" }, { "dropping-particle" : "", "family" : "Waage", "given" : "Johannes", "non-dropping-particle" : "", "parse-names" : false, "suffix" : "" }, { "dropping-particle" : "", "family" : "Ware", "given" : "Erin B.", "non-dropping-particle" : "", "parse-names" : false, "suffix" : "" }, { "dropping-particle" : "", "family" : "Willemsen", "given" : "Gonneke", "non-dropping-particle" : "", "parse-names" : false, "suffix" : "" }, { "dropping-particle" : "", "family" : "Attia", "given" : "John R.", "non-dropping-particle" : "", "parse-names" : false, "suffix" : "" }, { "dropping-particle" : "", "family" : "Bennett", "given" : "David A.", "non-dropping-particle" : "", "parse-names" : false, "suffix" : "" }, { "dropping-particle" : "", "family" : "Berger", "given" : "Klaus", "non-dropping-particle" : "", "parse-names" : false, "suffix" : "" }, { "dropping-particle" : "", "family" : "Bertram", "given" : "Lars", "non-dropping-particle" : "", "parse-names" : false, "suffix" : "" }, { "dropping-particle" : "", "family" : "Bisgaard", "given" : "Hans", "non-dropping-particle" : "", "parse-names" : false, "suffix" : "" }, { "dropping-particle" : "", "family" : "Boomsma", "given" : "Dorret I.", "non-dropping-particle" : "", "parse-names" : false, "suffix" : "" }, { "dropping-particle" : "", "family" : "Borecki", "given" : "Ingrid B.", "non-dropping-particle" : "", "parse-names" : false, "suffix" : "" }, { "dropping-particle" : "", "family" : "B\u00fcltmann", "given" : "Ute", "non-dropping-particle" : "", "parse-names" : false, "suffix" : "" }, { "dropping-particle" : "", "family" : "Chabris", "given" : "Christopher F.", "non-dropping-particle" : "", "parse-names" : false, "suffix" : "" }, { "dropping-particle" : "", "family" : "Cucca", "given" : "Francesco", "non-dropping-particle" : "", "parse-names" : false, "suffix" : "" }, { "dropping-particle" : "", "family" : "Cusi", "given" : "Daniele", "non-dropping-particle" : "", "parse-names" : false, "suffix" : "" }, { "dropping-particle" : "", "family" : "Deary", "given" : "Ian J.", "non-dropping-particle" : "", "parse-names" : false, "suffix" : "" }, { "dropping-particle" : "V.", "family" : "Dedoussis", "given" : "George", "non-dropping-particle" : "", "parse-names" : false, "suffix" : "" }, { "dropping-particle" : "", "family" : "Duijn", "given" : "Cornelia M.", "non-dropping-particle" : "van", "parse-names" : false, "suffix" : "" }, { "dropping-particle" : "", "family" : "Eriksson", "given" : "Johan G.", "non-dropping-particle" : "", "parse-names" : false, "suffix" : "" }, { "dropping-particle" : "", "family" : "Franke", "given" : "Barbara", "non-dropping-particle" : "", "parse-names" : false, "suffix" : "" }, { "dropping-particle" : "", "family" : "Franke", "given" : "Lude", "non-dropping-particle" : "", "parse-names" : false, "suffix" : "" }, { "dropping-particle" : "", "family" : "Gasparini", "given" : "Paolo", "non-dropping-particle" : "", "parse-names" : false, "suffix" : "" }, { "dropping-particle" : "V.", "family" : "Gejman", "given" : "Pablo", "non-dropping-particle" : "", "parse-names" : false, "suffix" : "" }, { "dropping-particle" : "", "family" : "Gieger", "given" : "Christian", "non-dropping-particle" : "", "parse-names" : false, "suffix" : "" }, { "dropping-particle" : "", "family" : "Grabe", "given" : "Hans-J\u00f6rgen", "non-dropping-particle" : "", "parse-names" : false, "suffix" : "" }, { "dropping-particle" : "", "family" : "Gratten", "given" : "Jacob", "non-dropping-particle" : "", "parse-names" : false, "suffix" : "" }, { "dropping-particle" : "", "family" : "Groenen", "given" : "Patrick J. F.", "non-dropping-particle" : "", "parse-names" : false, "suffix" : "" }, { "dropping-particle" : "", "family" : "Gudnason", "given" : "Vilmundur", "non-dropping-particle" : "", "parse-names" : false, "suffix" : "" }, { "dropping-particle" : "", "family" : "Harst", "given" : "Pim", "non-dropping-particle" : "van der", "parse-names" : false, "suffix" : "" }, { "dropping-particle" : "", "family" : "Hayward", "given" : "Caroline", "non-dropping-particle" : "", "parse-names" : false, "suffix" : "" }, { "dropping-particle" : "", "family" : "Hinds", "given" : "David A.", "non-dropping-particle" : "", "parse-names" : false, "suffix" : "" }, { "dropping-particle" : "", "family" : "Hoffmann", "given" : "Wolfgang", "non-dropping-particle" : "", "parse-names" : false, "suffix" : "" }, { "dropping-particle" : "", "family" : "Hypp\u00f6nen", "given" : "Elina", "non-dropping-particle" : "", "parse-names" : false, "suffix" : "" }, { "dropping-particle" : "", "family" : "Iacono", "given" : "William G.", "non-dropping-particle" : "", "parse-names" : false, "suffix" : "" }, { "dropping-particle" : "", "family" : "Jacobsson", "given" : "Bo", "non-dropping-particle" : "", "parse-names" : false, "suffix" : "" }, { "dropping-particle" : "", "family" : "J\u00e4rvelin", "given" : "Marjo-Riitta", "non-dropping-particle" : "", "parse-names" : false, "suffix" : "" }, { "dropping-particle" : "", "family" : "J\u00f6ckel", "given" : "Karl-Heinz", "non-dropping-particle" : "", "parse-names" : false, "suffix" : "" }, { "dropping-particle" : "", "family" : "Kaprio", "given" : "Jaakko", "non-dropping-particle" : "", "parse-names" : false, "suffix" : "" }, { "dropping-particle" : "", "family" : "Kardia", "given" : "Sharon L. R.", "non-dropping-particle" : "", "parse-names" : false, "suffix" : "" }, { "dropping-particle" : "", "family" : "Lehtim\u00e4ki", "given" : "Terho", "non-dropping-particle" : "", "parse-names" : false, "suffix" : "" }, { "dropping-particle" : "", "family" : "Lehrer", "given" : "Steven F.", "non-dropping-particle" : "", "parse-names" : false, "suffix" : "" }, { "dropping-particle" : "", "family" : "Magnusson", "given" : "Patrik K. E.", "non-dropping-particle" : "", "parse-names" : false, "suffix" : "" }, { "dropping-particle" : "", "family" : "Martin", "given" : "Nicholas G.", "non-dropping-particle" : "", "parse-names" : false, "suffix" : "" }, { "dropping-particle" : "", "family" : "McGue", "given" : "Matt", "non-dropping-particle" : "", "parse-names" : false, "suffix" : "" }, { "dropping-particle" : "", "family" : "Metspalu", "given" : "Andres", "non-dropping-particle" : "", "parse-names" : false, "suffix" : "" }, { "dropping-particle" : "", "family" : "Pendleton", "given" : "Neil", "non-dropping-particle" : "", "parse-names" : false, "suffix" : "" }, { "dropping-particle" : "", "family" : "Penninx", "given" : "Brenda W. J. H.", "non-dropping-particle" : "", "parse-names" : false, "suffix" : "" }, { "dropping-particle" : "", "family" : "Perola", "given" : "Markus", "non-dropping-particle" : "", "parse-names" : false, "suffix" : "" }, { "dropping-particle" : "", "family" : "Pirastu", "given" : "Nicola", "non-dropping-particle" : "", "parse-names" : false, "suffix" : "" }, { "dropping-particle" : "", "family" : "Pirastu", "given" : "Mario", "non-dropping-particle" : "", "parse-names" : false, "suffix" : "" }, { "dropping-particle" : "", "family" : "Polasek", "given" : "Ozren", "non-dropping-particle" : "", "parse-names" : false, "suffix" : "" }, { "dropping-particle" : "", "family" : "Posthuma", "given" : "Danielle", "non-dropping-particle" : "", "parse-names" : false, "suffix" : "" }, { "dropping-particle" : "", "family" : "Power", "given" : "Christine", "non-dropping-particle" : "", "parse-names" : false, "suffix" : "" }, { "dropping-particle" : "", "family" : "Province", "given" : "Michael A.", "non-dropping-particle" : "", "parse-names" : false, "suffix" : "" }, { "dropping-particle" : "", "family" : "Samani", "given" : "Nilesh J.", "non-dropping-particle" : "", "parse-names" : false, "suffix" : "" }, { "dropping-particle" : "", "family" : "Schlessinger", "given" : "David", "non-dropping-particle" : "", "parse-names" : false, "suffix" : "" }, { "dropping-particle" : "", "family" : "Schmidt", "given" : "Reinhold", "non-dropping-particle" : "", "parse-names" : false, "suffix" : "" }, { "dropping-particle" : "", "family" : "S\u00f8rensen", "given" : "Thorkild I. A.", "non-dropping-particle" : "", "parse-names" : false, "suffix" : "" }, { "dropping-particle" : "", "family" : "Spector", "given" : "Tim D.", "non-dropping-particle" : "", "parse-names" : false, "suffix" : "" }, { "dropping-particle" : "", "family" : "Stefansson", "given" : "Kari", "non-dropping-particle" : "", "parse-names" : false, "suffix" : "" }, { "dropping-particle" : "", "family" : "Thorsteinsdottir", "given" : "Unnur", "non-dropping-particle" : "", "parse-names" : false, "suffix" : "" }, { "dropping-particle" : "", "family" : "Thurik", "given" : "A. Roy", "non-dropping-particle" : "", "parse-names" : false, "suffix" : "" }, { "dropping-particle" : "", "family" : "Timpson", "given" : "Nicholas J.", "non-dropping-particle" : "", "parse-names" : false, "suffix" : "" }, { "dropping-particle" : "", "family" : "Tiemeier", "given" : "Henning", "non-dropping-particle" : "", "parse-names" : false, "suffix" : "" }, { "dropping-particle" : "", "family" : "Tung", "given" : "Joyce Y.", "non-dropping-particle" : "", "parse-names" : false, "suffix" : "" }, { "dropping-particle" : "", "family" : "Uitterlinden", "given" : "Andr\u00e9 G.", "non-dropping-particle" : "", "parse-names" : false, "suffix" : "" }, { "dropping-particle" : "", "family" : "Vitart", "given" : "Veronique", "non-dropping-particle" : "", "parse-names" : false, "suffix" : "" }, { "dropping-particle" : "", "family" : "Vollenweider", "given" : "Peter", "non-dropping-particle" : "", "parse-names" : false, "suffix" : "" }, { "dropping-particle" : "", "family" : "Weir", "given" : "David R.", "non-dropping-particle" : "", "parse-names" : false, "suffix" : "" }, { "dropping-particle" : "", "family" : "Wilson", "given" : "James F.", "non-dropping-particle" : "", "parse-names" : false, "suffix" : "" }, { "dropping-particle" : "", "family" : "Wright", "given" : "Alan F.", "non-dropping-particle" : "", "parse-names" : false, "suffix" : "" }, { "dropping-particle" : "", "family" : "Conley", "given" : "Dalton C.", "non-dropping-particle" : "", "parse-names" : false, "suffix" : "" }, { "dropping-particle" : "", "family" : "Krueger", "given" : "Robert F.", "non-dropping-particle" : "", "parse-names" : false, "suffix" : "" }, { "dropping-particle" : "", "family" : "Davey Smith", "given" : "George", "non-dropping-particle" : "", "parse-names" : false, "suffix" : "" }, { "dropping-particle" : "", "family" : "Hofman", "given" : "Albert", "non-dropping-particle" : "", "parse-names" : false, "suffix" : "" }, { "dropping-particle" : "", "family" : "Laibson", "given" : "David I.", "non-dropping-particle" : "", "parse-names" : false, "suffix" : "" }, { "dropping-particle" : "", "family" : "Medland", "given" : "Sarah E.", "non-dropping-particle" : "", "parse-names" : false, "suffix" : "" }, { "dropping-particle" : "", "family" : "Meyer", "given" : "Michelle N.", "non-dropping-particle" : "", "parse-names" : false, "suffix" : "" }, { "dropping-particle" : "", "family" : "Yang", "given" : "Jian", "non-dropping-particle" : "", "parse-names" : false, "suffix" : "" }, { "dropping-particle" : "", "family" : "Johannesson", "given" : "Magnus", "non-dropping-particle" : "", "parse-names" : false, "suffix" : "" }, { "dropping-particle" : "", "family" : "Visscher", "given" : "Peter M.", "non-dropping-particle" : "", "parse-names" : false, "suffix" : "" }, { "dropping-particle" : "", "family" : "Esko", "given" : "T\u00f5nu", "non-dropping-particle" : "", "parse-names" : false, "suffix" : "" }, { "dropping-particle" : "", "family" : "Koellinger", "given" : "Philipp D.", "non-dropping-particle" : "", "parse-names" : false, "suffix" : "" }, { "dropping-particle" : "", "family" : "Cesarini", "given" : "David", "non-dropping-particle" : "", "parse-names" : false, "suffix" : "" }, { "dropping-particle" : "", "family" : "Benjamin", "given" : "Daniel J.", "non-dropping-particle" : "", "parse-names" : false, "suffix" : "" } ], "container-title" : "Nature", "id" : "ITEM-1", "issue" : "7604", "issued" : { "date-parts" : [ [ "2016" ] ] }, "page" : "539-542", "title" : "Genome-wide association study identifies 74 loci associated with educational attainment", "type" : "article-journal", "volume" : "533" }, "uris" : [ "http://www.mendeley.com/documents/?uuid=9054db9a-ec3c-4c19-add2-4ba566373bbc" ] } ], "mendeley" : { "formattedCitation" : "&lt;sup&gt;1&lt;/sup&gt;", "plainTextFormattedCitation" : "1", "previouslyFormattedCitation" : "&lt;sup&gt;1&lt;/sup&gt;" }, "properties" : {  }, "schema" : "https://github.com/citation-style-language/schema/raw/master/csl-citation.json" }</w:instrText>
      </w:r>
      <w:r>
        <w:rPr>
          <w:rFonts w:ascii="Arial" w:hAnsi="Arial"/>
          <w:sz w:val="22"/>
        </w:rPr>
        <w:fldChar w:fldCharType="separate"/>
      </w:r>
      <w:r w:rsidRPr="004B3D0F">
        <w:rPr>
          <w:rFonts w:ascii="Arial" w:hAnsi="Arial"/>
          <w:noProof/>
          <w:sz w:val="22"/>
          <w:vertAlign w:val="superscript"/>
        </w:rPr>
        <w:t>1</w:t>
      </w:r>
      <w:r>
        <w:rPr>
          <w:rFonts w:ascii="Arial" w:hAnsi="Arial"/>
          <w:sz w:val="22"/>
        </w:rPr>
        <w:fldChar w:fldCharType="end"/>
      </w:r>
      <w:r>
        <w:rPr>
          <w:rFonts w:ascii="Arial" w:hAnsi="Arial"/>
          <w:sz w:val="22"/>
        </w:rPr>
        <w:t>.</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Ever drink</w:t>
      </w:r>
      <w:r>
        <w:rPr>
          <w:rFonts w:ascii="Arial" w:hAnsi="Arial"/>
          <w:sz w:val="22"/>
        </w:rPr>
        <w:t>: This measure came from Field 20117, “Alcohol Drinker Status”, from the touchscreen interview. Calculated based on participants’ answers to questions like “About how often do you drink alcohol?” and “Did you previously drink alcohol?”, individuals were categorized into “Current”, “Previous”, “Never”, and “Prefer not to answer”. For the current analyses, we classified individuals in the “Current” or “Previous” categories as “ever drinkers” (coded as ‘1’), and individuals in the “Never” category as “never drinkers” (‘0’).</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Ever smoke</w:t>
      </w:r>
      <w:r>
        <w:rPr>
          <w:rFonts w:ascii="Arial" w:hAnsi="Arial"/>
          <w:sz w:val="22"/>
        </w:rPr>
        <w:t>: This measure came from Field 20116, “Smoking Status”, which was derived by the UK Biobank from Fields 1239 (“Current tobacco smoking”) and 1249 (“Past tobacco smoking”). Based on their responses to those two fields, individuals were categorized into “Current”, “Previous”, “Never”, and “Prefer not to answer”. For the current analyses, we classified individuals in the “Current” or “Previous” categories as “ever smokers” (coded as ‘1’), and individuals in the “Never” category as “never smokers” (‘0’).</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Fluid intelligence</w:t>
      </w:r>
      <w:r>
        <w:rPr>
          <w:rFonts w:ascii="Arial" w:hAnsi="Arial"/>
          <w:sz w:val="22"/>
        </w:rPr>
        <w:t xml:space="preserve">: Field 20016, from the cognitive function assessment. This measure is the unweighted sum of the number of 13 fluid intelligence questions answered correctly.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Forced expiratory volume in 1 second (FEV1) and FEV1/forced vital capacity (FVC)</w:t>
      </w:r>
      <w:r>
        <w:rPr>
          <w:rFonts w:ascii="Arial" w:hAnsi="Arial"/>
          <w:sz w:val="22"/>
        </w:rPr>
        <w:t xml:space="preserve">: </w:t>
      </w:r>
      <w:r>
        <w:rPr>
          <w:rFonts w:ascii="Arial" w:hAnsi="Arial"/>
          <w:sz w:val="22"/>
        </w:rPr>
        <w:lastRenderedPageBreak/>
        <w:t>FEV1 came from Field 20150, which was the “</w:t>
      </w:r>
      <w:r w:rsidRPr="00A05D1B">
        <w:rPr>
          <w:rFonts w:ascii="Arial" w:hAnsi="Arial"/>
          <w:sz w:val="22"/>
        </w:rPr>
        <w:t>Highest measure from the array of values for Forced Expiratory Volume in 1-second (FEV1) Field 3063, which was "acceptable" according to corresponding acceptability field (Field 3061).</w:t>
      </w:r>
      <w:r>
        <w:rPr>
          <w:rFonts w:ascii="Arial" w:hAnsi="Arial"/>
          <w:sz w:val="22"/>
        </w:rPr>
        <w:t>” This field was derived by Prof. Martin Tobin, and the units of measurement are liters. FVC came from Field 20151, which was also derived by Prof. Tobin in a similar manner. For the current study, our measure of FEV1/FVC was simply calculated as the ratio of these two fields.</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Grip strength</w:t>
      </w:r>
      <w:r>
        <w:rPr>
          <w:rFonts w:ascii="Arial" w:hAnsi="Arial"/>
          <w:sz w:val="22"/>
        </w:rPr>
        <w:t xml:space="preserve">: This measure was derived from Fields 46, left hand grip strength, and 47, right hand grip strength; units of measurement are kg. We calculated maximum grip strength for each individual by taking the maximum value from either left or right hand grip strength, as was done in reference </w:t>
      </w:r>
      <w:r>
        <w:rPr>
          <w:rFonts w:ascii="Arial" w:hAnsi="Arial"/>
          <w:sz w:val="22"/>
        </w:rPr>
        <w:fldChar w:fldCharType="begin" w:fldLock="1"/>
      </w:r>
      <w:r>
        <w:rPr>
          <w:rFonts w:ascii="Arial" w:hAnsi="Arial"/>
          <w:sz w:val="22"/>
        </w:rPr>
        <w:instrText>ADDIN CSL_CITATION { "citationItems" : [ { "id" : "ITEM-1", "itemData" : { "author" : [ { "dropping-particle" : "", "family" : "Willems", "given" : "Sara M", "non-dropping-particle" : "", "parse-names" : false, "suffix" : "" }, { "dropping-particle" : "", "family" : "Wright", "given" : "Daniel J", "non-dropping-particle" : "", "parse-names" : false, "suffix" : "" }, { "dropping-particle" : "", "family" : "Day", "given" : "Felix R", "non-dropping-particle" : "", "parse-names" : false, "suffix" : "" }, { "dropping-particle" : "", "family" : "Trajanoska", "given" : "Katerina", "non-dropping-particle" : "", "parse-names" : false, "suffix" : "" }, { "dropping-particle" : "", "family" : "Joshi", "given" : "Peter K", "non-dropping-particle" : "", "parse-names" : false, "suffix" : "" }, { "dropping-particle" : "", "family" : "Morris", "given" : "John A", "non-dropping-particle" : "", "parse-names" : false, "suffix" : "" }, { "dropping-particle" : "", "family" : "Matteini", "given" : "Amy M", "non-dropping-particle" : "", "parse-names" : false, "suffix" : "" }, { "dropping-particle" : "", "family" : "Garton", "given" : "Fleur C", "non-dropping-particle" : "", "parse-names" : false, "suffix" : "" }, { "dropping-particle" : "", "family" : "Grarup", "given" : "Niels", "non-dropping-particle" : "", "parse-names" : false, "suffix" : "" }, { "dropping-particle" : "", "family" : "Oskolkov", "given" : "Nikolay", "non-dropping-particle" : "", "parse-names" : false, "suffix" : "" }, { "dropping-particle" : "", "family" : "Thalamuthu", "given" : "Anbupalam", "non-dropping-particle" : "", "parse-names" : false, "suffix" : "" }, { "dropping-particle" : "", "family" : "Mangino", "given" : "Massimo", "non-dropping-particle" : "", "parse-names" : false, "suffix" : "" }, { "dropping-particle" : "", "family" : "Liu", "given" : "Jun", "non-dropping-particle" : "", "parse-names" : false, "suffix" : "" }, { "dropping-particle" : "", "family" : "Demirkan", "given" : "Ayse", "non-dropping-particle" : "", "parse-names" : false, "suffix" : "" }, { "dropping-particle" : "", "family" : "Lek", "given" : "Monkol", "non-dropping-particle" : "", "parse-names" : false, "suffix" : "" }, { "dropping-particle" : "", "family" : "Xu", "given" : "Liwen", "non-dropping-particle" : "", "parse-names" : false, "suffix" : "" }, { "dropping-particle" : "", "family" : "Wang", "given" : "Guan", "non-dropping-particle" : "", "parse-names" : false, "suffix" : "" }, { "dropping-particle" : "", "family" : "Oldmeadow", "given" : "Christopher", "non-dropping-particle" : "", "parse-names" : false, "suffix" : "" }, { "dropping-particle" : "", "family" : "Gaulton", "given" : "Kyle J", "non-dropping-particle" : "", "parse-names" : false, "suffix" : "" }, { "dropping-particle" : "", "family" : "Lotta", "given" : "Luca A", "non-dropping-particle" : "", "parse-names" : false, "suffix" : "" }, { "dropping-particle" : "", "family" : "Miyamoto-Mikami", "given" : "Eri", "non-dropping-particle" : "", "parse-names" : false, "suffix" : "" }, { "dropping-particle" : "", "family" : "Rivas", "given" : "Manuel A", "non-dropping-particle" : "", "parse-names" : false, "suffix" : "" }, { "dropping-particle" : "", "family" : "White", "given" : "Tom", "non-dropping-particle" : "", "parse-names" : false, "suffix" : "" }, { "dropping-particle" : "", "family" : "Loh", "given" : "Po-Ru", "non-dropping-particle" : "", "parse-names" : false, "suffix" : "" }, { "dropping-particle" : "", "family" : "Aadahl", "given" : "Mette", "non-dropping-particle" : "", "parse-names" : false, "suffix" : "" }, { "dropping-particle" : "", "family" : "Amin", "given" : "Najaf", "non-dropping-particle" : "", "parse-names" : false, "suffix" : "" }, { "dropping-particle" : "", "family" : "Attia", "given" : "John R", "non-dropping-particle" : "", "parse-names" : false, "suffix" : "" }, { "dropping-particle" : "", "family" : "Austin", "given" : "Krista", "non-dropping-particle" : "", "parse-names" : false, "suffix" : "" }, { "dropping-particle" : "", "family" : "Benyamin", "given" : "Beben", "non-dropping-particle" : "", "parse-names" : false, "suffix" : "" }, { "dropping-particle" : "", "family" : "Brage", "given" : "S\u00f8ren", "non-dropping-particle" : "", "parse-names" : false, "suffix" : "" }, { "dropping-particle" : "", "family" : "Cheng", "given" : "Yu-Ching", "non-dropping-particle" : "", "parse-names" : false, "suffix" : "" }, { "dropping-particle" : "", "family" : "Ci\u0119szczyk", "given" : "Pawe\u0142", "non-dropping-particle" : "", "parse-names" : false, "suffix" : "" }, { "dropping-particle" : "", "family" : "Derave", "given" : "Wim", "non-dropping-particle" : "", "parse-names" : false, "suffix" : "" }, { "dropping-particle" : "", "family" : "Eriksson", "given" : "Karl-Fredrik", "non-dropping-particle" : "", "parse-names" : false, "suffix" : "" }, { "dropping-particle" : "", "family" : "Eynon", "given" : "Nir", "non-dropping-particle" : "", "parse-names" : false, "suffix" : "" }, { "dropping-particle" : "", "family" : "Linneberg", "given" : "Allan", "non-dropping-particle" : "", "parse-names" : false, "suffix" : "" }, { "dropping-particle" : "", "family" : "Lucia", "given" : "Alejandro", "non-dropping-particle" : "", "parse-names" : false, "suffix" : "" }, { "dropping-particle" : "", "family" : "Massidda", "given" : "Myosotis", "non-dropping-particle" : "", "parse-names" : false, "suffix" : "" }, { "dropping-particle" : "", "family" : "Mitchell", "given" : "Braxton D", "non-dropping-particle" : "", "parse-names" : false, "suffix" : "" }, { "dropping-particle" : "", "family" : "Miyachi", "given" : "Motohiko", "non-dropping-particle" : "", "parse-names" : false, "suffix" : "" }, { "dropping-particle" : "", "family" : "Murakami", "given" : "Haruka", "non-dropping-particle" : "", "parse-names" : false, "suffix" : "" }, { "dropping-particle" : "", "family" : "Padmanabhan", "given" : "Sandosh", "non-dropping-particle" : "", "parse-names" : false, "suffix" : "" }, { "dropping-particle" : "", "family" : "Pandey", "given" : "Ashutosh", "non-dropping-particle" : "", "parse-names" : false, "suffix" : "" }, { "dropping-particle" : "", "family" : "Papadimitriou", "given" : "Ioannis", "non-dropping-particle" : "", "parse-names" : false, "suffix" : "" }, { "dropping-particle" : "", "family" : "Rajpal", "given" : "Deepak K", "non-dropping-particle" : "", "parse-names" : false, "suffix" : "" }, { "dropping-particle" : "", "family" : "Sale", "given" : "Craig", "non-dropping-particle" : "", "parse-names" : false, "suffix" : "" }, { "dropping-particle" : "", "family" : "Schnurr", "given" : "Theresia M", "non-dropping-particle" : "", "parse-names" : false, "suffix" : "" }, { "dropping-particle" : "", "family" : "Sessa", "given" : "Francesco", "non-dropping-particle" : "", "parse-names" : false, "suffix" : "" }, { "dropping-particle" : "", "family" : "Shrine", "given" : "Nick", "non-dropping-particle" : "", "parse-names" : false, "suffix" : "" }, { "dropping-particle" : "", "family" : "Tobin", "given" : "Martin D", "non-dropping-particle" : "", "parse-names" : false, "suffix" : "" }, { "dropping-particle" : "", "family" : "Varley", "given" : "Ian", "non-dropping-particle" : "", "parse-names" : false, "suffix" : "" }, { "dropping-particle" : "V", "family" : "Wain", "given" : "Louise", "non-dropping-particle" : "", "parse-names" : false, "suffix" : "" }, { "dropping-particle" : "", "family" : "Wray", "given" : "Naomi R", "non-dropping-particle" : "", "parse-names" : false, "suffix" : "" }, { "dropping-particle" : "", "family" : "Lindgren", "given" : "Cecilia M", "non-dropping-particle" : "", "parse-names" : false, "suffix" : "" }, { "dropping-particle" : "", "family" : "MacArthur", "given" : "Daniel G", "non-dropping-particle" : "", "parse-names" : false, "suffix" : "" }, { "dropping-particle" : "", "family" : "Waterworth", "given" : "Dawn M", "non-dropping-particle" : "", "parse-names" : false, "suffix" : "" }, { "dropping-particle" : "", "family" : "McCarthy", "given" : "Mark I", "non-dropping-particle" : "", "parse-names" : false, "suffix" : "" }, { "dropping-particle" : "", "family" : "Pedersen", "given" : "Oluf", "non-dropping-particle" : "", "parse-names" : false, "suffix" : "" }, { "dropping-particle" : "", "family" : "Khaw", "given" : "Kay-Tee", "non-dropping-particle" : "", "parse-names" : false, "suffix" : "" }, { "dropping-particle" : "", "family" : "Kiel", "given" : "Douglas P", "non-dropping-particle" : "", "parse-names" : false, "suffix" : "" }, { "dropping-particle" : "", "family" : "Consortium", "given" : "GEFOS Any-Type of Fracture", "non-dropping-particle" : "", "parse-names" : false, "suffix" : "" }, { "dropping-particle" : "", "family" : "Pitsiladis", "given" : "Yannis", "non-dropping-particle" : "", "parse-names" : false, "suffix" : "" }, { "dropping-particle" : "", "family" : "Fuku", "given" : "Noriyuki", "non-dropping-particle" : "", "parse-names" : false, "suffix" : "" }, { "dropping-particle" : "", "family" : "Franks", "given" : "Paul W", "non-dropping-particle" : "", "parse-names" : false, "suffix" : "" }, { "dropping-particle" : "", "family" : "North", "given" : "Kathryn N", "non-dropping-particle" : "", "parse-names" : false, "suffix" : "" }, { "dropping-particle" : "", "family" : "Duijn", "given" : "Cornelia M", "non-dropping-particle" : "van", "parse-names" : false, "suffix" : "" }, { "dropping-particle" : "", "family" : "Mather", "given" : "Karen A", "non-dropping-particle" : "", "parse-names" : false, "suffix" : "" }, { "dropping-particle" : "", "family" : "Hansen", "given" : "Torben", "non-dropping-particle" : "", "parse-names" : false, "suffix" : "" }, { "dropping-particle" : "", "family" : "Hansson", "given" : "Ola", "non-dropping-particle" : "", "parse-names" : false, "suffix" : "" }, { "dropping-particle" : "", "family" : "Spector", "given" : "Tim", "non-dropping-particle" : "", "parse-names" : false, "suffix" : "" }, { "dropping-particle" : "", "family" : "Murabito", "given" : "Joanne M", "non-dropping-particle" : "", "parse-names" : false, "suffix" : "" }, { "dropping-particle" : "", "family" : "Richards", "given" : "J Brent", "non-dropping-particle" : "", "parse-names" : false, "suffix" : "" }, { "dropping-particle" : "", "family" : "Rivadeneira", "given" : "Fernando", "non-dropping-particle" : "", "parse-names" : false, "suffix" : "" }, { "dropping-particle" : "", "family" : "Langenberg", "given" : "Claudia", "non-dropping-particle" : "", "parse-names" : false, "suffix" : "" }, { "dropping-particle" : "", "family" : "Perry", "given" : "John R B", "non-dropping-particle" : "", "parse-names" : false, "suffix" : "" }, { "dropping-particle" : "", "family" : "Wareham", "given" : "Nick J", "non-dropping-particle" : "", "parse-names" : false, "suffix" : "" }, { "dropping-particle" : "", "family" : "Scott", "given" : "Robert A", "non-dropping-particle" : "", "parse-names" : false, "suffix" : "" } ], "container-title" : "Nature Communications", "id" : "ITEM-1", "issued" : { "date-parts" : [ [ "2017", "7", "12" ] ] }, "page" : "16015", "publisher" : "The Author(s)", "title" : "Large-scale GWAS identifies multiple loci for hand grip strength providing biological insights into muscular fitness", "type" : "article-journal", "volume" : "8" }, "uris" : [ "http://www.mendeley.com/documents/?uuid=6b32446e-f9f0-46dd-9fd5-68b6ea45a9a1" ] } ], "mendeley" : { "formattedCitation" : "&lt;sup&gt;2&lt;/sup&gt;", "plainTextFormattedCitation" : "2", "previouslyFormattedCitation" : "&lt;sup&gt;2&lt;/sup&gt;" }, "properties" : {  }, "schema" : "https://github.com/citation-style-language/schema/raw/master/csl-citation.json" }</w:instrText>
      </w:r>
      <w:r>
        <w:rPr>
          <w:rFonts w:ascii="Arial" w:hAnsi="Arial"/>
          <w:sz w:val="22"/>
        </w:rPr>
        <w:fldChar w:fldCharType="separate"/>
      </w:r>
      <w:r w:rsidRPr="004B3D0F">
        <w:rPr>
          <w:rFonts w:ascii="Arial" w:hAnsi="Arial"/>
          <w:noProof/>
          <w:sz w:val="22"/>
          <w:vertAlign w:val="superscript"/>
        </w:rPr>
        <w:t>2</w:t>
      </w:r>
      <w:r>
        <w:rPr>
          <w:rFonts w:ascii="Arial" w:hAnsi="Arial"/>
          <w:sz w:val="22"/>
        </w:rPr>
        <w:fldChar w:fldCharType="end"/>
      </w:r>
      <w:r>
        <w:rPr>
          <w:rFonts w:ascii="Arial" w:hAnsi="Arial"/>
          <w:sz w:val="22"/>
        </w:rPr>
        <w:t>. We excluded individuals with hand grip strength values &gt;70 kg, as these were obvious outliers.</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Height</w:t>
      </w:r>
      <w:r>
        <w:rPr>
          <w:rFonts w:ascii="Arial" w:hAnsi="Arial"/>
          <w:sz w:val="22"/>
        </w:rPr>
        <w:t xml:space="preserve">: This measurement came from Field 50, “Standing height”, and units of measurement are cm. We excluded individuals who stood less than 120 cm high.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Household income</w:t>
      </w:r>
      <w:r>
        <w:rPr>
          <w:rFonts w:ascii="Arial" w:hAnsi="Arial"/>
          <w:sz w:val="22"/>
        </w:rPr>
        <w:t>: Field 738, from the touchscreen question “</w:t>
      </w:r>
      <w:r w:rsidRPr="00A51102">
        <w:rPr>
          <w:rFonts w:ascii="Arial" w:hAnsi="Arial"/>
          <w:sz w:val="22"/>
        </w:rPr>
        <w:t>What is the average total income before tax received by your HOUSEHOLD?"</w:t>
      </w:r>
      <w:r>
        <w:rPr>
          <w:rFonts w:ascii="Arial" w:hAnsi="Arial"/>
          <w:sz w:val="22"/>
        </w:rPr>
        <w:t xml:space="preserve"> Possible response categories were: Less than £18,000; £18,000 to £30,999; £31,000 to £51,999; £60,000 to £100,000; greater than £100,000; Do not know; Prefer not to answer. We excluded individuals who responded “Do not know” or “Prefer not to answer”, and treated the remaining categories continuously, such that “Less than £18,000” was coded as 0, “£18,000 to £30,999” was coded as 1, etc. </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Probable major depression (MDD)</w:t>
      </w:r>
      <w:r>
        <w:rPr>
          <w:rFonts w:ascii="Arial" w:hAnsi="Arial"/>
          <w:sz w:val="22"/>
        </w:rPr>
        <w:t xml:space="preserve">: This measure was derived from Field 20126, which was in turn derived from Fields 20122 – 20125 by Prof. Jill Pell (more information at </w:t>
      </w:r>
      <w:r w:rsidRPr="00C5423B">
        <w:rPr>
          <w:rFonts w:ascii="Arial" w:hAnsi="Arial"/>
          <w:sz w:val="22"/>
        </w:rPr>
        <w:t>http://biobank.ctsu.ox.ac.uk/crystal/refer.cgi?id=158772</w:t>
      </w:r>
      <w:r>
        <w:rPr>
          <w:rFonts w:ascii="Arial" w:hAnsi="Arial"/>
          <w:sz w:val="22"/>
        </w:rPr>
        <w:t xml:space="preserve">). Briefly, individuals who completed all the touchscreen questions regarding these mental health symptoms were categorized into one of six categories: 0 = no bipolar or depression; 1 = Bipolar I; 2 = Bipolar II; 3 = Probable Recurrent major depression (severe); 4 = Probable Recurrent </w:t>
      </w:r>
      <w:r>
        <w:rPr>
          <w:rFonts w:ascii="Arial" w:hAnsi="Arial"/>
          <w:sz w:val="22"/>
        </w:rPr>
        <w:lastRenderedPageBreak/>
        <w:t>major depression (moderate); 5 = Single Probable major depression episode. If an individual’s responses resulted in their being coded as possessing more than one disorder, they were only categorized as their most severe condition (e.g. if an individual qualified for Bipolar II as well as probable severe recurrent major depression, they were coded as 2, Bipolar II, for derived Field 20126). For our analyses, any individual who was coded as 3, 4, or 5 (“Probable Recurrent major depression (severe)”, ”Probable Recurrent major depression (moderate)”, or “Single Probable major depression episode”) for Field 20126 was counted as a case (coded as ‘1’), and any individual coded as 0 (“No bipolar or depression”) was included as a control (‘0’).</w:t>
      </w:r>
    </w:p>
    <w:p w:rsidR="00B55A71" w:rsidRPr="00814D79" w:rsidRDefault="00B55A71" w:rsidP="00B55A71">
      <w:pPr>
        <w:widowControl w:val="0"/>
        <w:autoSpaceDE w:val="0"/>
        <w:autoSpaceDN w:val="0"/>
        <w:adjustRightInd w:val="0"/>
        <w:spacing w:line="480" w:lineRule="auto"/>
        <w:rPr>
          <w:rFonts w:ascii="Arial" w:hAnsi="Arial"/>
          <w:sz w:val="22"/>
        </w:rPr>
      </w:pPr>
      <w:r>
        <w:rPr>
          <w:rFonts w:ascii="Arial" w:hAnsi="Arial"/>
          <w:i/>
          <w:sz w:val="22"/>
        </w:rPr>
        <w:t xml:space="preserve">Neuroticism score: </w:t>
      </w:r>
      <w:r>
        <w:rPr>
          <w:rFonts w:ascii="Arial" w:hAnsi="Arial"/>
          <w:sz w:val="22"/>
        </w:rPr>
        <w:t xml:space="preserve">This score, derived by Prof. Jill Pell, was calculated from 12 “neurotic behavior domains” from </w:t>
      </w:r>
      <w:r w:rsidRPr="00321F76">
        <w:rPr>
          <w:rFonts w:ascii="Arial" w:hAnsi="Arial"/>
          <w:sz w:val="22"/>
        </w:rPr>
        <w:t>fields 1920, 1930, 1940, 1950, 1960, 1970, 1980, 1990, 2000, 2010, 2020 and 2030</w:t>
      </w:r>
      <w:r>
        <w:rPr>
          <w:rFonts w:ascii="Arial" w:hAnsi="Arial"/>
          <w:sz w:val="22"/>
        </w:rPr>
        <w:t xml:space="preserve">; possible scores range from 0 to 12. More details are provided at </w:t>
      </w:r>
      <w:hyperlink r:id="rId4" w:history="1">
        <w:r w:rsidRPr="00971FFE">
          <w:rPr>
            <w:rStyle w:val="Hyperlink"/>
            <w:rFonts w:ascii="Arial" w:hAnsi="Arial"/>
            <w:sz w:val="22"/>
          </w:rPr>
          <w:t>http://biobank.ctsu.ox.ac.uk/crystal/field.cgi?id=20127</w:t>
        </w:r>
      </w:hyperlink>
      <w:r>
        <w:rPr>
          <w:rFonts w:ascii="Arial" w:hAnsi="Arial"/>
          <w:sz w:val="22"/>
        </w:rPr>
        <w:t xml:space="preserve">.  </w:t>
      </w:r>
    </w:p>
    <w:p w:rsidR="00B55A71" w:rsidRPr="00334FAF" w:rsidRDefault="00B55A71" w:rsidP="00B55A71">
      <w:pPr>
        <w:widowControl w:val="0"/>
        <w:autoSpaceDE w:val="0"/>
        <w:autoSpaceDN w:val="0"/>
        <w:adjustRightInd w:val="0"/>
        <w:spacing w:line="480" w:lineRule="auto"/>
        <w:rPr>
          <w:rFonts w:ascii="Arial" w:hAnsi="Arial"/>
          <w:sz w:val="22"/>
        </w:rPr>
      </w:pPr>
      <w:r>
        <w:rPr>
          <w:rFonts w:ascii="Arial" w:hAnsi="Arial"/>
          <w:i/>
          <w:sz w:val="22"/>
        </w:rPr>
        <w:t xml:space="preserve">Religious group attendance/participation: </w:t>
      </w:r>
      <w:r>
        <w:rPr>
          <w:rFonts w:ascii="Arial" w:hAnsi="Arial"/>
          <w:sz w:val="22"/>
        </w:rPr>
        <w:t xml:space="preserve">We derived this score from Field 6160, a touchscreen question that asked </w:t>
      </w:r>
      <w:r w:rsidRPr="00762F48">
        <w:rPr>
          <w:rFonts w:ascii="Arial" w:hAnsi="Arial"/>
          <w:sz w:val="22"/>
        </w:rPr>
        <w:t>"Which of the following do you attend once a week or more often? (You can select more than one)"</w:t>
      </w:r>
      <w:r>
        <w:rPr>
          <w:rFonts w:ascii="Arial" w:hAnsi="Arial"/>
          <w:sz w:val="22"/>
        </w:rPr>
        <w:t>. Any individual who selected “Religious group” as one of their answers was coded as a ‘1’ for our measure, while everyone else who did not select this as an answer was coded as a ‘0’.</w:t>
      </w:r>
    </w:p>
    <w:p w:rsidR="00B55A71" w:rsidRPr="00EE0F9D" w:rsidRDefault="00B55A71" w:rsidP="00B55A71">
      <w:pPr>
        <w:widowControl w:val="0"/>
        <w:autoSpaceDE w:val="0"/>
        <w:autoSpaceDN w:val="0"/>
        <w:adjustRightInd w:val="0"/>
        <w:spacing w:line="480" w:lineRule="auto"/>
        <w:rPr>
          <w:rFonts w:ascii="Arial" w:hAnsi="Arial"/>
          <w:sz w:val="22"/>
        </w:rPr>
      </w:pPr>
      <w:r>
        <w:rPr>
          <w:rFonts w:ascii="Arial" w:hAnsi="Arial"/>
          <w:i/>
          <w:sz w:val="22"/>
        </w:rPr>
        <w:t xml:space="preserve">Systolic blood pressure (BP): </w:t>
      </w:r>
      <w:r>
        <w:rPr>
          <w:rFonts w:ascii="Arial" w:hAnsi="Arial"/>
          <w:sz w:val="22"/>
        </w:rPr>
        <w:t>From Field 4080, which included two automated systolic blood pressure readings, taken a few moments apart. For this analysis, we took the average of the two readings (or just included one reading, if only one was given) for each individual, and excluded those with an average systolic BP reading &gt; 200 mmHg (the American Heart Association classifies a systolic BP reading &gt; 180 mmHg as a hypertensive crisis, requiring immediate emergency care).</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 xml:space="preserve">Townsend Deprivation Index (TDI): </w:t>
      </w:r>
      <w:r>
        <w:rPr>
          <w:rFonts w:ascii="Arial" w:hAnsi="Arial"/>
          <w:sz w:val="22"/>
        </w:rPr>
        <w:t xml:space="preserve">Field 189, calculated by the UK Biobank based on an individual’s postcode and the TDI score assigned to output areas by the preceding </w:t>
      </w:r>
      <w:r>
        <w:rPr>
          <w:rFonts w:ascii="Arial" w:hAnsi="Arial"/>
          <w:sz w:val="22"/>
        </w:rPr>
        <w:lastRenderedPageBreak/>
        <w:t>national census.</w:t>
      </w:r>
    </w:p>
    <w:p w:rsidR="0033344E" w:rsidRPr="0033344E" w:rsidRDefault="0033344E" w:rsidP="00B55A71">
      <w:pPr>
        <w:widowControl w:val="0"/>
        <w:autoSpaceDE w:val="0"/>
        <w:autoSpaceDN w:val="0"/>
        <w:adjustRightInd w:val="0"/>
        <w:spacing w:line="480" w:lineRule="auto"/>
        <w:rPr>
          <w:rFonts w:ascii="Arial" w:hAnsi="Arial"/>
          <w:sz w:val="22"/>
        </w:rPr>
      </w:pPr>
      <w:r>
        <w:rPr>
          <w:rFonts w:ascii="Arial" w:hAnsi="Arial"/>
          <w:i/>
          <w:sz w:val="22"/>
        </w:rPr>
        <w:t xml:space="preserve">Urbanicity: </w:t>
      </w:r>
      <w:r>
        <w:rPr>
          <w:rFonts w:ascii="Arial" w:hAnsi="Arial"/>
          <w:sz w:val="22"/>
        </w:rPr>
        <w:t xml:space="preserve">This binary measure was </w:t>
      </w:r>
      <w:r w:rsidR="00774B95">
        <w:rPr>
          <w:rFonts w:ascii="Arial" w:hAnsi="Arial"/>
          <w:sz w:val="22"/>
        </w:rPr>
        <w:t>derived</w:t>
      </w:r>
      <w:r>
        <w:rPr>
          <w:rFonts w:ascii="Arial" w:hAnsi="Arial"/>
          <w:sz w:val="22"/>
        </w:rPr>
        <w:t xml:space="preserve"> from Field </w:t>
      </w:r>
      <w:r w:rsidR="00774B95">
        <w:rPr>
          <w:rFonts w:ascii="Arial" w:hAnsi="Arial"/>
          <w:sz w:val="22"/>
        </w:rPr>
        <w:t xml:space="preserve">20118, “Home area population density – urban or rural”, which was a classification originally </w:t>
      </w:r>
      <w:r w:rsidR="00351D52">
        <w:rPr>
          <w:rFonts w:ascii="Arial" w:hAnsi="Arial"/>
          <w:sz w:val="22"/>
        </w:rPr>
        <w:t>created</w:t>
      </w:r>
      <w:r w:rsidR="00774B95">
        <w:rPr>
          <w:rFonts w:ascii="Arial" w:hAnsi="Arial"/>
          <w:sz w:val="22"/>
        </w:rPr>
        <w:t xml:space="preserve"> by combining participants’ home postal code with population density data from the 2001 census (from the Office of National Statistics). We </w:t>
      </w:r>
      <w:r w:rsidR="00963AF2">
        <w:rPr>
          <w:rFonts w:ascii="Arial" w:hAnsi="Arial"/>
          <w:sz w:val="22"/>
        </w:rPr>
        <w:t>converted this field into</w:t>
      </w:r>
      <w:r w:rsidR="00774B95">
        <w:rPr>
          <w:rFonts w:ascii="Arial" w:hAnsi="Arial"/>
          <w:sz w:val="22"/>
        </w:rPr>
        <w:t xml:space="preserve"> a dichotomous measure by combining </w:t>
      </w:r>
      <w:r w:rsidR="00014F1C">
        <w:rPr>
          <w:rFonts w:ascii="Arial" w:hAnsi="Arial"/>
          <w:sz w:val="22"/>
        </w:rPr>
        <w:t xml:space="preserve">the </w:t>
      </w:r>
      <w:r w:rsidR="00774B95">
        <w:rPr>
          <w:rFonts w:ascii="Arial" w:hAnsi="Arial"/>
          <w:sz w:val="22"/>
        </w:rPr>
        <w:t xml:space="preserve">four </w:t>
      </w:r>
      <w:r w:rsidR="00014F1C">
        <w:rPr>
          <w:rFonts w:ascii="Arial" w:hAnsi="Arial"/>
          <w:sz w:val="22"/>
        </w:rPr>
        <w:t xml:space="preserve">urban </w:t>
      </w:r>
      <w:r w:rsidR="00774B95">
        <w:rPr>
          <w:rFonts w:ascii="Arial" w:hAnsi="Arial"/>
          <w:sz w:val="22"/>
        </w:rPr>
        <w:t xml:space="preserve">categories </w:t>
      </w:r>
      <w:r w:rsidR="00014F1C">
        <w:rPr>
          <w:rFonts w:ascii="Arial" w:hAnsi="Arial"/>
          <w:sz w:val="22"/>
        </w:rPr>
        <w:t>(</w:t>
      </w:r>
      <w:r w:rsidR="00774B95">
        <w:rPr>
          <w:rFonts w:ascii="Arial" w:hAnsi="Arial"/>
          <w:sz w:val="22"/>
        </w:rPr>
        <w:t>“England/Wales – Urban – sparse”, “England/Wales – Urban – less sparse”, “Scotland – Large Urban Area”, and “Scotland – Other Urban area”</w:t>
      </w:r>
      <w:r w:rsidR="00014F1C">
        <w:rPr>
          <w:rFonts w:ascii="Arial" w:hAnsi="Arial"/>
          <w:sz w:val="22"/>
        </w:rPr>
        <w:t>)</w:t>
      </w:r>
      <w:r w:rsidR="00774B95">
        <w:rPr>
          <w:rFonts w:ascii="Arial" w:hAnsi="Arial"/>
          <w:sz w:val="22"/>
        </w:rPr>
        <w:t xml:space="preserve"> into one urban category (coded ‘1’), and all other classifications (e.g. “England/Wales – Town and Fringe – sparse”, “Scotland – Remote Small Town”) into a non-urban category (coded ‘0’).</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i/>
          <w:sz w:val="22"/>
        </w:rPr>
        <w:t xml:space="preserve">Waist:hip ratio: </w:t>
      </w:r>
      <w:r>
        <w:rPr>
          <w:rFonts w:ascii="Arial" w:hAnsi="Arial"/>
          <w:sz w:val="22"/>
        </w:rPr>
        <w:t>This was calculated from Fields 48 and 49, waist and hip circumference in cm. We excluded individuals with a waist circumference &lt;40 cm or &gt;160 cm or a hip circumference &lt;50 cm or &gt;175 cm (i.e. individuals who were extreme outliers), and then took the ratio of waist circumference to hip circumference.</w:t>
      </w:r>
    </w:p>
    <w:p w:rsidR="00B55A71" w:rsidRDefault="00B55A71" w:rsidP="00B55A71">
      <w:pPr>
        <w:widowControl w:val="0"/>
        <w:autoSpaceDE w:val="0"/>
        <w:autoSpaceDN w:val="0"/>
        <w:adjustRightInd w:val="0"/>
        <w:spacing w:line="480" w:lineRule="auto"/>
        <w:rPr>
          <w:rFonts w:ascii="Arial" w:hAnsi="Arial"/>
          <w:b/>
          <w:sz w:val="22"/>
        </w:rPr>
      </w:pPr>
      <w:r>
        <w:rPr>
          <w:rFonts w:ascii="Arial" w:hAnsi="Arial"/>
          <w:b/>
          <w:sz w:val="22"/>
        </w:rPr>
        <w:t>Choice of autozygosity detection method</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sz w:val="22"/>
        </w:rPr>
        <w:tab/>
        <w:t>As Yengo et al.</w:t>
      </w:r>
      <w:r>
        <w:rPr>
          <w:rFonts w:ascii="Arial" w:hAnsi="Arial"/>
          <w:sz w:val="22"/>
        </w:rPr>
        <w:fldChar w:fldCharType="begin" w:fldLock="1"/>
      </w:r>
      <w:r>
        <w:rPr>
          <w:rFonts w:ascii="Arial" w:hAnsi="Arial"/>
          <w:sz w:val="22"/>
        </w:rPr>
        <w:instrText>ADDIN CSL_CITATION { "citationItems" : [ { "id" : "ITEM-1", "itemData" : { "abstract" : "Inbreeding depression (ID) is the reduction of fitness in offspring of related parents. This phenomenon can be quantified from SNP data through a number of measures of inbreeding. Our study addresses two key questions. How accurate are the different methods to estimate ID? And how and why should investigators choose among the multiple inbreeding measures to detect and quantify ID? Here, we compare the behaviors of ID estimates from three commonly used SNP-based measures of inbreeding and provide both theoretical and empirical arguments to answer these questions. Our work illustrates how to analyze SNP data efficiently to detect and quantify ID, across species and traits.Quantifying the effects of inbreeding is critical to characterizing the genetic architecture of complex traits. This study highlights through theory and simulations the strengths and shortcomings of three SNP-based inbreeding measures commonly used to estimate inbreeding depression (ID). We demonstrate that heterogeneity in linkage disequilibrium (LD) between causal variants and SNPs biases ID estimates, and we develop an approach to correct this bias using LD and minor allele frequency stratified inference (LDMS). We quantified ID in 25 traits measured in \u223c140,000 participants of the UK Biobank, using LDMS, and confirmed previously published ID for 4 traits. We find unique evidence of ID for handgrip strength, waist/hip ratio, and visual and auditory acuity (ID between \u22122.3 and \u22125.2 phenotypic SDs for complete inbreeding; P&amp;amp;lt;0.001). Our results illustrate that a careful choice of the measure of inbreeding combined with LDMS stratification improves both detection and quantification of ID using SNP data.", "author" : [ { "dropping-particle" : "", "family" : "Yengo", "given" : "Loic", "non-dropping-particle" : "", "parse-names" : false, "suffix" : "" }, { "dropping-particle" : "", "family" : "Zhu", "given" : "Zhihong", "non-dropping-particle" : "", "parse-names" : false, "suffix" : "" }, { "dropping-particle" : "", "family" : "Wray", "given" : "Naomi R", "non-dropping-particle" : "", "parse-names" : false, "suffix" : "" }, { "dropping-particle" : "", "family" : "Weir", "given" : "Bruce S", "non-dropping-particle" : "", "parse-names" : false, "suffix" : "" }, { "dropping-particle" : "", "family" : "Yang", "given" : "Jian", "non-dropping-particle" : "", "parse-names" : false, "suffix" : "" }, { "dropping-particle" : "", "family" : "Robinson", "given" : "Matthew R", "non-dropping-particle" : "", "parse-names" : false, "suffix" : "" }, { "dropping-particle" : "", "family" : "Visscher", "given" : "Peter M", "non-dropping-particle" : "", "parse-names" : false, "suffix" : "" } ], "container-title" : "Proceedings of the National Academy of Sciences", "id" : "ITEM-1", "issue" : "32", "issued" : { "date-parts" : [ [ "2017", "8", "8" ] ] }, "page" : "8602 LP  - 8607", "title" : "Detection and quantification of inbreeding depression for complex traits from SNP data", "type" : "article-journal", "volume" : "114" }, "uris" : [ "http://www.mendeley.com/documents/?uuid=03771757-8838-41c3-a66f-631651ea9ba3" ] } ], "mendeley" : { "formattedCitation" : "&lt;sup&gt;3&lt;/sup&gt;", "plainTextFormattedCitation" : "3", "previouslyFormattedCitation" : "&lt;sup&gt;3&lt;/sup&gt;" }, "properties" : {  }, "schema" : "https://github.com/citation-style-language/schema/raw/master/csl-citation.json" }</w:instrText>
      </w:r>
      <w:r>
        <w:rPr>
          <w:rFonts w:ascii="Arial" w:hAnsi="Arial"/>
          <w:sz w:val="22"/>
        </w:rPr>
        <w:fldChar w:fldCharType="separate"/>
      </w:r>
      <w:r w:rsidRPr="00704C21">
        <w:rPr>
          <w:rFonts w:ascii="Arial" w:hAnsi="Arial"/>
          <w:noProof/>
          <w:sz w:val="22"/>
          <w:vertAlign w:val="superscript"/>
        </w:rPr>
        <w:t>3</w:t>
      </w:r>
      <w:r>
        <w:rPr>
          <w:rFonts w:ascii="Arial" w:hAnsi="Arial"/>
          <w:sz w:val="22"/>
        </w:rPr>
        <w:fldChar w:fldCharType="end"/>
      </w:r>
      <w:r>
        <w:rPr>
          <w:rFonts w:ascii="Arial" w:hAnsi="Arial"/>
          <w:sz w:val="22"/>
        </w:rPr>
        <w:t xml:space="preserve"> discuss in their paper comparing methods for the quantification of inbreeding in the UK Biobank, one shortcoming of ROH-based methods is that the ROH definition depends on the relatively arbitrary choice of multiple parameters, including whether to define ROH based on physical length or number of consecutive homozygous SNPs, the number of missing or heterozygote SNPs allowed per ROH, and the maximum gap allowed between two SNPs in the ROH. Despite these many parameter choices, </w:t>
      </w:r>
      <w:r w:rsidRPr="007A3EC1">
        <w:rPr>
          <w:rFonts w:ascii="Arial" w:hAnsi="Arial"/>
          <w:i/>
          <w:sz w:val="22"/>
        </w:rPr>
        <w:t>F</w:t>
      </w:r>
      <w:r w:rsidRPr="007A3EC1">
        <w:rPr>
          <w:rFonts w:ascii="Arial" w:hAnsi="Arial"/>
          <w:i/>
          <w:sz w:val="22"/>
          <w:vertAlign w:val="subscript"/>
        </w:rPr>
        <w:t>ROH</w:t>
      </w:r>
      <w:r>
        <w:rPr>
          <w:rFonts w:ascii="Arial" w:hAnsi="Arial"/>
          <w:sz w:val="22"/>
        </w:rPr>
        <w:t xml:space="preserve"> has been shown to be the best estimate of genome-wide autozygosity</w:t>
      </w:r>
      <w:r>
        <w:rPr>
          <w:rFonts w:ascii="Arial" w:hAnsi="Arial"/>
          <w:sz w:val="22"/>
        </w:rPr>
        <w:fldChar w:fldCharType="begin" w:fldLock="1"/>
      </w:r>
      <w:r>
        <w:rPr>
          <w:rFonts w:ascii="Arial" w:hAnsi="Arial"/>
          <w:sz w:val="22"/>
        </w:rPr>
        <w:instrText>ADDIN CSL_CITATION { "citationItems" : [ { "id" : "ITEM-1", "itemData" : { "DOI" : "10.1534/genetics.111.130922", "ISBN" : "0016-6731", "ISSN" : "00166731", "PMID" : "21705750", "abstract" : "Inbreeding depression, which refers to reduced fitness among offspring of related parents, has traditionally been studied using pedigrees. In practice, pedigree information is difficult to obtain, potentially unreliable, and rarely assessed for inbreeding arising from common ancestors who lived more than a few generations ago. Recently, there has been excitement about using SNP data to estimate inbreeding (F) arising from distant common ancestors in apparently \"outbred\" populations. Statistical power to detect inbreeding depression using SNP data depends on the actual variation in inbreeding in a population, the accuracy of detecting that with marker data, the effect size, and the sample size. No one has yet investigated what variation in F is expected in SNP data as a function of population size, and it is unclear which estimate of F is optimal for detecting inbreeding depression. In the present study, we use theory, simulated genetic data, and real genetic data to find the optimal estimate of F, to quantify the likely variation in F in populations of various sizes, and to estimate the power to detect inbreeding depression. We find that F estimated from runs of homozygosity (F(roh)), which reflects shared ancestry of genetic haplotypes, retains variation in even large populations (e.g., SD = 0.5% when N(e) = 10,000) and is likely to be the most powerful method of detecting inbreeding effects from among several alternative estimates of F. However, large samples (e.g., 12,000-65,000) will be required to detect inbreeding depression for likely effect sizes, and so studies using F(roh) to date have probably been underpowered.", "author" : [ { "dropping-particle" : "", "family" : "Keller", "given" : "Matthew C.", "non-dropping-particle" : "", "parse-names" : false, "suffix" : "" }, { "dropping-particle" : "", "family" : "Visscher", "given" : "Peter M.", "non-dropping-particle" : "", "parse-names" : false, "suffix" : "" }, { "dropping-particle" : "", "family" : "Goddard", "given" : "Michael E.", "non-dropping-particle" : "", "parse-names" : false, "suffix" : "" } ], "container-title" : "Genetics", "id" : "ITEM-1", "issue" : "1", "issued" : { "date-parts" : [ [ "2011" ] ] }, "page" : "237-249", "title" : "Quantification of inbreeding due to distant ancestors and its detection using dense single nucleotide polymorphism data", "type" : "article-journal", "volume" : "189" }, "uris" : [ "http://www.mendeley.com/documents/?uuid=9d5c51d0-f091-4b97-9aef-858cc9bbf71e" ] }, { "id" : "ITEM-2", "itemData" : { "DOI" : "10.1159/000358224", "ISBN" : "00015652", "ISSN" : "14230062", "PMID" : "25060269", "abstract" : "BACKGROUND/AIMS: If the parents of an individual are related, it is possible for the individual to have received at 1 locus 2 identical-by-descent alleles that are copies of a single allele carried by the parents' common ancestor. The inbreeding coefficient measures the probability of this event and increases with increasing relatedness between the parents. It is traditionally computed from the observed inbreeding loops in the genealogies and its accuracy thus depends on the depth and reliability of the genealogies. With the availability of genome-wide genetic data, it has become possible to compute a genome-based inbreeding coefficient f, and different methods have been developed to estimate f and identify inbred individuals in a sample from the observed patterns of homozygosity at markers.\\n\\nMETHODS: For this paper, we performed simulations with known genealogies using different SNP panels with different levels of linkage disequilibrium (LD) to compare several estimators of f, including single-point estimates, methods based on the length of runs of homozygosity (ROHs) and different methods that use hidden Markov models (HMMs). We also compared the performances of some of these estimators to identify inbred individuals in a sample using either HMM likelihood ratio tests or an adapted version of the ERSA software.\\n\\nRESULTS: Single-point methods were found to have higher standard deviations than other methods. ROHs gave the best estimates provided the correct length threshold is known. HMMs on sparse data gave equivalent or better results than HMMs modeling LD. Provided LD is correctly accounted for, the inbreeding estimates were very similar using the different SNP panels. The HMM likelihood ratio tests were found to perform better at detecting inbred individuals in a sample than the adapted ERSA. All methods accurately detected inbreeding up to second-cousin offspring. We applied the best method on release 3 of the HapMap phase III project, found up to 4% of inbred individuals, and created HAP1067, an unrelated and outbred dataset of this release.\\n\\nCONCLUSIONS: We recommend using HMMs on multiple sparse maps to estimate and detect inbreeding in large samples. If the sample of individuals is too small to estimate allele frequencies, we advise to estimate them on reference panels or to use 1,500-kb ROHs. Finally, we suggest to investigators using HapMap to be careful with inbred individuals, especially in the GIH (Gujarati Indians from Houston in Te\u2026", "author" : [ { "dropping-particle" : "", "family" : "Gazal", "given" : "Steven", "non-dropping-particle" : "", "parse-names" : false, "suffix" : "" }, { "dropping-particle" : "", "family" : "Sahbatou", "given" : "Mourad", "non-dropping-particle" : "", "parse-names" : false, "suffix" : "" }, { "dropping-particle" : "", "family" : "Perdry", "given" : "Herv\u00e9", "non-dropping-particle" : "", "parse-names" : false, "suffix" : "" }, { "dropping-particle" : "", "family" : "Letort", "given" : "S\u00e9bastien", "non-dropping-particle" : "", "parse-names" : false, "suffix" : "" }, { "dropping-particle" : "", "family" : "G\u00e9nin", "given" : "Emmanuelle", "non-dropping-particle" : "", "parse-names" : false, "suffix" : "" }, { "dropping-particle" : "", "family" : "Leutenegger", "given" : "Anne Louise", "non-dropping-particle" : "", "parse-names" : false, "suffix" : "" } ], "container-title" : "Human Heredity", "id" : "ITEM-2", "issue" : "1-4", "issued" : { "date-parts" : [ [ "2014" ] ] }, "page" : "49-62", "title" : "Inbreeding coefficient estimation with dense SNP data: Comparison of strategies and application to HapMap III", "type" : "article-journal", "volume" : "77" }, "uris" : [ "http://www.mendeley.com/documents/?uuid=538ef792-e157-45d9-9de6-f6ac22737e3c" ] } ], "mendeley" : { "formattedCitation" : "&lt;sup&gt;4,5&lt;/sup&gt;", "plainTextFormattedCitation" : "4,5", "previouslyFormattedCitation" : "&lt;sup&gt;4,5&lt;/sup&gt;" }, "properties" : {  }, "schema" : "https://github.com/citation-style-language/schema/raw/master/csl-citation.json" }</w:instrText>
      </w:r>
      <w:r>
        <w:rPr>
          <w:rFonts w:ascii="Arial" w:hAnsi="Arial"/>
          <w:sz w:val="22"/>
        </w:rPr>
        <w:fldChar w:fldCharType="separate"/>
      </w:r>
      <w:r w:rsidRPr="000650A1">
        <w:rPr>
          <w:rFonts w:ascii="Arial" w:hAnsi="Arial"/>
          <w:noProof/>
          <w:sz w:val="22"/>
          <w:vertAlign w:val="superscript"/>
        </w:rPr>
        <w:t>4,5</w:t>
      </w:r>
      <w:r>
        <w:rPr>
          <w:rFonts w:ascii="Arial" w:hAnsi="Arial"/>
          <w:sz w:val="22"/>
        </w:rPr>
        <w:fldChar w:fldCharType="end"/>
      </w:r>
      <w:r>
        <w:rPr>
          <w:rFonts w:ascii="Arial" w:hAnsi="Arial"/>
          <w:sz w:val="22"/>
        </w:rPr>
        <w:t xml:space="preserve"> (comparable to measurements from pedigree data), and Howrigan et al.</w:t>
      </w:r>
      <w:r>
        <w:rPr>
          <w:rFonts w:ascii="Arial" w:hAnsi="Arial"/>
          <w:sz w:val="22"/>
        </w:rPr>
        <w:fldChar w:fldCharType="begin" w:fldLock="1"/>
      </w:r>
      <w:r>
        <w:rPr>
          <w:rFonts w:ascii="Arial" w:hAnsi="Arial"/>
          <w:sz w:val="22"/>
        </w:rPr>
        <w:instrText>ADDIN CSL_CITATION { "citationItems" : [ { "id" : "ITEM-1", "itemData" : { "DOI" : "10.1186/1471-2164-12-460", "ISBN" : "1471-2164", "ISSN" : "1471-2164", "PMID" : "21943305", "abstract" : "BACKGROUND: A central aim for studying runs of homozygosity (ROHs) in genome-wide SNP data is to detect the effects of autozygosity (stretches of the two homologous chromosomes within the same individual that are identical by descent) on phenotypes. However, it is unknown which current ROH detection program, and which set of parameters within a given program, is optimal for differentiating ROHs that are truly autozygous from ROHs that are homozygous at the marker level but vary at unmeasured variants between the markers.\\n\\nMETHOD: We simulated 120 Mb of sequence data in order to know the true state of autozygosity. We then extracted common variants from this sequence to mimic the properties of SNP platforms and performed ROH analyses using three popular ROH detection programs, PLINK, GERMLINE, and BEAGLE. We varied detection thresholds for each program (e.g., prior probabilities, lengths of ROHs) to understand their effects on detecting known autozygosity.\\n\\nRESULTS: Within the optimal thresholds for each program, PLINK outperformed GERMLINE and BEAGLE in detecting autozygosity from distant common ancestors. PLINK's sliding window algorithm worked best when using SNP data pruned for linkage disequilibrium (LD).\\n\\nCONCLUSION: Our results provide both general and specific recommendations for maximizing autozygosity detection in genome-wide SNP data, and should apply equally well to research on whole-genome autozygosity burden or to research on whether specific autozygous regions are predictive using association mapping methods.", "author" : [ { "dropping-particle" : "", "family" : "Howrigan", "given" : "Daniel P", "non-dropping-particle" : "", "parse-names" : false, "suffix" : "" }, { "dropping-particle" : "", "family" : "Simonson", "given" : "Matthew A", "non-dropping-particle" : "", "parse-names" : false, "suffix" : "" }, { "dropping-particle" : "", "family" : "Keller", "given" : "Matthew C", "non-dropping-particle" : "", "parse-names" : false, "suffix" : "" } ], "container-title" : "BMC Genomics", "id" : "ITEM-1", "issue" : "1", "issued" : { "date-parts" : [ [ "2011" ] ] }, "page" : "460", "title" : "Detecting autozygosity through runs of homozygosity: A comparison of three autozygosity detection algorithms", "type" : "article", "volume" : "12" }, "uris" : [ "http://www.mendeley.com/documents/?uuid=c1530db7-ff7c-42a6-b9ef-a43e285fe4bf" ] } ], "mendeley" : { "formattedCitation" : "&lt;sup&gt;6&lt;/sup&gt;", "plainTextFormattedCitation" : "6", "previouslyFormattedCitation" : "&lt;sup&gt;6&lt;/sup&gt;" }, "properties" : {  }, "schema" : "https://github.com/citation-style-language/schema/raw/master/csl-citation.json" }</w:instrText>
      </w:r>
      <w:r>
        <w:rPr>
          <w:rFonts w:ascii="Arial" w:hAnsi="Arial"/>
          <w:sz w:val="22"/>
        </w:rPr>
        <w:fldChar w:fldCharType="separate"/>
      </w:r>
      <w:r w:rsidRPr="000650A1">
        <w:rPr>
          <w:rFonts w:ascii="Arial" w:hAnsi="Arial"/>
          <w:noProof/>
          <w:sz w:val="22"/>
          <w:vertAlign w:val="superscript"/>
        </w:rPr>
        <w:t>6</w:t>
      </w:r>
      <w:r>
        <w:rPr>
          <w:rFonts w:ascii="Arial" w:hAnsi="Arial"/>
          <w:sz w:val="22"/>
        </w:rPr>
        <w:fldChar w:fldCharType="end"/>
      </w:r>
      <w:r>
        <w:rPr>
          <w:rFonts w:ascii="Arial" w:hAnsi="Arial"/>
          <w:sz w:val="22"/>
        </w:rPr>
        <w:t xml:space="preserve"> clearly defined the optimum parameters for autozygosity detection using the suite of --homozyg commands implemented in Plink</w:t>
      </w:r>
      <w:r>
        <w:rPr>
          <w:rFonts w:ascii="Arial" w:hAnsi="Arial"/>
          <w:sz w:val="22"/>
        </w:rPr>
        <w:fldChar w:fldCharType="begin" w:fldLock="1"/>
      </w:r>
      <w:r>
        <w:rPr>
          <w:rFonts w:ascii="Arial" w:hAnsi="Arial"/>
          <w:sz w:val="22"/>
        </w:rPr>
        <w:instrText>ADDIN CSL_CITATION { "citationItems" : [ { "id" : "ITEM-1", "itemData" : { "DOI" : "10.1086/519795", "ISBN" : "0002-9297 (Print)\\n0002-9297 (Linking)", "ISSN" : "00029297", "PMID" : "17701901", "abstract" : "Whole-genome association studies (WGAS) bring new computational, as well as analytic, challenges to researchers. Many existing genetic-analysis tools are not designed to handle such large data sets in a convenient manner and do not necessarily exploit the new opportunities that whole-genome data bring. To address these issues, we developed PLINK, an open-source C/C++ WGAS tool set. With PLINK, large data sets comprising hundreds of thousands of markers genotyped for thousands of individuals can be rapidly manipulated and analyzed in their entirety. As well as providing tools to make the basic analytic steps computationally efficient, PLINK also supports some novel approaches to whole-genome data that take advantage of whole-genome coverage. We introduce PLINK and describe the five main domains of function: data management, summary statistics, population stratification, association analysis, and identity-by-descent estimation. In particular, we focus on the estimation and use of identity-by-state and identity-by-descent information in the context of population-based whole-genome studies. This information can be used to detect and correct for population stratification and to identify extended chromosomal segments that are shared identical by descent between very distantly related individuals. Analysis of the patterns of segmental sharing has the potential to map disease loci that contain multiple rare variants in a population-based linkage analysis.", "author" : [ { "dropping-particle" : "", "family" : "Purcell", "given" : "Shaun", "non-dropping-particle" : "", "parse-names" : false, "suffix" : "" }, { "dropping-particle" : "", "family" : "Neale", "given" : "Benjamin", "non-dropping-particle" : "", "parse-names" : false, "suffix" : "" }, { "dropping-particle" : "", "family" : "Todd-Brown", "given" : "Kathe", "non-dropping-particle" : "", "parse-names" : false, "suffix" : "" }, { "dropping-particle" : "", "family" : "Thomas", "given" : "Lori", "non-dropping-particle" : "", "parse-names" : false, "suffix" : "" }, { "dropping-particle" : "", "family" : "Ferreira", "given" : "Manuel A R", "non-dropping-particle" : "", "parse-names" : false, "suffix" : "" }, { "dropping-particle" : "", "family" : "Bender", "given" : "David", "non-dropping-particle" : "", "parse-names" : false, "suffix" : "" }, { "dropping-particle" : "", "family" : "Maller", "given" : "Julian", "non-dropping-particle" : "", "parse-names" : false, "suffix" : "" }, { "dropping-particle" : "", "family" : "Sklar", "given" : "Pamela", "non-dropping-particle" : "", "parse-names" : false, "suffix" : "" }, { "dropping-particle" : "", "family" : "Bakker", "given" : "Paul I W", "non-dropping-particle" : "de", "parse-names" : false, "suffix" : "" }, { "dropping-particle" : "", "family" : "Daly", "given" : "Mark J", "non-dropping-particle" : "", "parse-names" : false, "suffix" : "" }, { "dropping-particle" : "", "family" : "Sham", "given" : "Pak C", "non-dropping-particle" : "", "parse-names" : false, "suffix" : "" } ], "container-title" : "American journal of human genetics", "id" : "ITEM-1", "issue" : "3", "issued" : { "date-parts" : [ [ "2007" ] ] }, "page" : "559-575", "title" : "PLINK: a tool set for whole-genome association and population-based linkage analyses.", "type" : "article-journal", "volume" : "81" }, "uris" : [ "http://www.mendeley.com/documents/?uuid=ed8a762e-22a2-4e37-b1bd-20a97e37c7b2" ] } ], "mendeley" : { "formattedCitation" : "&lt;sup&gt;7&lt;/sup&gt;", "plainTextFormattedCitation" : "7", "previouslyFormattedCitation" : "&lt;sup&gt;7&lt;/sup&gt;" }, "properties" : {  }, "schema" : "https://github.com/citation-style-language/schema/raw/master/csl-citation.json" }</w:instrText>
      </w:r>
      <w:r>
        <w:rPr>
          <w:rFonts w:ascii="Arial" w:hAnsi="Arial"/>
          <w:sz w:val="22"/>
        </w:rPr>
        <w:fldChar w:fldCharType="separate"/>
      </w:r>
      <w:r w:rsidRPr="00D1674A">
        <w:rPr>
          <w:rFonts w:ascii="Arial" w:hAnsi="Arial"/>
          <w:noProof/>
          <w:sz w:val="22"/>
          <w:vertAlign w:val="superscript"/>
        </w:rPr>
        <w:t>7</w:t>
      </w:r>
      <w:r>
        <w:rPr>
          <w:rFonts w:ascii="Arial" w:hAnsi="Arial"/>
          <w:sz w:val="22"/>
        </w:rPr>
        <w:fldChar w:fldCharType="end"/>
      </w:r>
      <w:r>
        <w:rPr>
          <w:rFonts w:ascii="Arial" w:hAnsi="Arial"/>
          <w:sz w:val="22"/>
        </w:rPr>
        <w:t xml:space="preserve">, basing their recommendations on extensive simulations of realistic SNP data from European-ancestry populations. In particular, </w:t>
      </w:r>
      <w:r>
        <w:rPr>
          <w:rFonts w:ascii="Arial" w:hAnsi="Arial"/>
          <w:sz w:val="22"/>
        </w:rPr>
        <w:lastRenderedPageBreak/>
        <w:t xml:space="preserve">Howrigan et al. recommended pruning SNPs in strong linkage disequilibrium (LD) before calling ROHs, as regions of high LD can result in an increase of false positive ROH calls. Howrigan et al. then specified a set of optimum ROH-calling parameters for data with light LD pruning (removal of SNPs with VIF </w:t>
      </w:r>
      <m:oMath>
        <m:r>
          <w:rPr>
            <w:rFonts w:ascii="Cambria Math" w:hAnsi="Cambria Math"/>
            <w:sz w:val="22"/>
          </w:rPr>
          <m:t>≥</m:t>
        </m:r>
      </m:oMath>
      <w:r>
        <w:rPr>
          <w:rFonts w:ascii="Arial" w:hAnsi="Arial"/>
          <w:sz w:val="22"/>
        </w:rPr>
        <w:t xml:space="preserve"> 10 within a 50-SNP window) or more moderate LD pruning (removal of SNPs within a 50-SNP window with VIF </w:t>
      </w:r>
      <m:oMath>
        <m:r>
          <w:rPr>
            <w:rFonts w:ascii="Cambria Math" w:hAnsi="Cambria Math"/>
            <w:sz w:val="22"/>
          </w:rPr>
          <m:t>≥</m:t>
        </m:r>
      </m:oMath>
      <w:r>
        <w:rPr>
          <w:rFonts w:ascii="Arial" w:hAnsi="Arial"/>
          <w:sz w:val="22"/>
        </w:rPr>
        <w:t xml:space="preserve"> 2). We followed their recommendations for light LD pruning, specifically requiring ROHs to consist of at least 65 consecutive homozygous SNPs in a row, have a density of at least</w:t>
      </w:r>
      <w:r w:rsidRPr="0096657C">
        <w:rPr>
          <w:rFonts w:ascii="Arial" w:hAnsi="Arial"/>
          <w:sz w:val="22"/>
        </w:rPr>
        <w:t xml:space="preserve"> 1 SNP per </w:t>
      </w:r>
      <w:r>
        <w:rPr>
          <w:rFonts w:ascii="Arial" w:hAnsi="Arial"/>
          <w:sz w:val="22"/>
        </w:rPr>
        <w:t>200</w:t>
      </w:r>
      <w:r w:rsidRPr="0096657C">
        <w:rPr>
          <w:rFonts w:ascii="Arial" w:hAnsi="Arial"/>
          <w:sz w:val="22"/>
        </w:rPr>
        <w:t xml:space="preserve"> kb</w:t>
      </w:r>
      <w:r>
        <w:rPr>
          <w:rFonts w:ascii="Arial" w:hAnsi="Arial"/>
          <w:sz w:val="22"/>
        </w:rPr>
        <w:t>, no</w:t>
      </w:r>
      <w:r w:rsidRPr="0096657C">
        <w:rPr>
          <w:rFonts w:ascii="Arial" w:hAnsi="Arial"/>
          <w:sz w:val="22"/>
        </w:rPr>
        <w:t xml:space="preserve"> heterozygote</w:t>
      </w:r>
      <w:r>
        <w:rPr>
          <w:rFonts w:ascii="Arial" w:hAnsi="Arial"/>
          <w:sz w:val="22"/>
        </w:rPr>
        <w:t xml:space="preserve"> calls</w:t>
      </w:r>
      <w:r w:rsidRPr="0096657C">
        <w:rPr>
          <w:rFonts w:ascii="Arial" w:hAnsi="Arial"/>
          <w:sz w:val="22"/>
        </w:rPr>
        <w:t xml:space="preserve"> </w:t>
      </w:r>
      <w:r>
        <w:rPr>
          <w:rFonts w:ascii="Arial" w:hAnsi="Arial"/>
          <w:sz w:val="22"/>
        </w:rPr>
        <w:t xml:space="preserve">and three missing variant calls (5% of the SNP threshold) per ROH. Finally, we </w:t>
      </w:r>
      <w:r w:rsidRPr="0096657C">
        <w:rPr>
          <w:rFonts w:ascii="Arial" w:hAnsi="Arial"/>
          <w:sz w:val="22"/>
        </w:rPr>
        <w:t>split an ROH into two if a gap &gt;</w:t>
      </w:r>
      <w:r>
        <w:rPr>
          <w:rFonts w:ascii="Arial" w:hAnsi="Arial"/>
          <w:sz w:val="22"/>
        </w:rPr>
        <w:t>500</w:t>
      </w:r>
      <w:r w:rsidRPr="0096657C">
        <w:rPr>
          <w:rFonts w:ascii="Arial" w:hAnsi="Arial"/>
          <w:sz w:val="22"/>
        </w:rPr>
        <w:t xml:space="preserve"> kb existed between consecutive homozygous SNPs</w:t>
      </w:r>
      <w:r>
        <w:rPr>
          <w:rFonts w:ascii="Arial" w:hAnsi="Arial"/>
          <w:sz w:val="22"/>
        </w:rPr>
        <w:t>. In contrast, Joshi et al. defined ROHs on a set of SNPs that were not LD-pruned, but required</w:t>
      </w:r>
      <w:r w:rsidRPr="002B56E9">
        <w:rPr>
          <w:rFonts w:ascii="Arial" w:hAnsi="Arial"/>
          <w:sz w:val="22"/>
        </w:rPr>
        <w:t xml:space="preserve"> ROHs to be at least 1.5 Mb long, to </w:t>
      </w:r>
      <w:r>
        <w:rPr>
          <w:rFonts w:ascii="Arial" w:hAnsi="Arial"/>
          <w:sz w:val="22"/>
        </w:rPr>
        <w:t>contain at least</w:t>
      </w:r>
      <w:r w:rsidRPr="002B56E9">
        <w:rPr>
          <w:rFonts w:ascii="Arial" w:hAnsi="Arial"/>
          <w:sz w:val="22"/>
        </w:rPr>
        <w:t xml:space="preserve"> 50 </w:t>
      </w:r>
      <w:r>
        <w:rPr>
          <w:rFonts w:ascii="Arial" w:hAnsi="Arial"/>
          <w:sz w:val="22"/>
        </w:rPr>
        <w:t xml:space="preserve">consecutive homozygous </w:t>
      </w:r>
      <w:r w:rsidRPr="002B56E9">
        <w:rPr>
          <w:rFonts w:ascii="Arial" w:hAnsi="Arial"/>
          <w:sz w:val="22"/>
        </w:rPr>
        <w:t>SNPs, and to be located at least 1 Mb away from one another.</w:t>
      </w:r>
      <w:r>
        <w:rPr>
          <w:rFonts w:ascii="Arial" w:hAnsi="Arial"/>
          <w:sz w:val="22"/>
        </w:rPr>
        <w:t xml:space="preserve"> Joshi et al.’s shorter ROH SNP threshold might capture some ancient segments of autozygosity that will be missed by our choice of ROH definition, but this definition is also more prone to calling false positives (regions that are homozygous by state, rather than identical by descent), particularly on unpruned SNP data.</w:t>
      </w:r>
    </w:p>
    <w:p w:rsidR="00B55A71" w:rsidRDefault="00B55A71" w:rsidP="00B55A71">
      <w:pPr>
        <w:widowControl w:val="0"/>
        <w:autoSpaceDE w:val="0"/>
        <w:autoSpaceDN w:val="0"/>
        <w:adjustRightInd w:val="0"/>
        <w:spacing w:line="480" w:lineRule="auto"/>
        <w:rPr>
          <w:rFonts w:ascii="Arial" w:hAnsi="Arial"/>
          <w:sz w:val="22"/>
        </w:rPr>
      </w:pPr>
      <w:r>
        <w:rPr>
          <w:rFonts w:ascii="Arial" w:hAnsi="Arial" w:cs="Arial"/>
          <w:b/>
          <w:i/>
          <w:sz w:val="22"/>
        </w:rPr>
        <w:t>F</w:t>
      </w:r>
      <w:r>
        <w:rPr>
          <w:rFonts w:ascii="Arial" w:hAnsi="Arial" w:cs="Arial"/>
          <w:b/>
          <w:i/>
          <w:sz w:val="22"/>
          <w:vertAlign w:val="subscript"/>
        </w:rPr>
        <w:t>ROH_long</w:t>
      </w:r>
      <w:r>
        <w:rPr>
          <w:rFonts w:ascii="Arial" w:hAnsi="Arial" w:cs="Arial"/>
          <w:b/>
          <w:sz w:val="22"/>
        </w:rPr>
        <w:t xml:space="preserve"> vs. </w:t>
      </w:r>
      <w:r>
        <w:rPr>
          <w:rFonts w:ascii="Arial" w:hAnsi="Arial" w:cs="Arial"/>
          <w:b/>
          <w:i/>
          <w:sz w:val="22"/>
        </w:rPr>
        <w:t>F</w:t>
      </w:r>
      <w:r>
        <w:rPr>
          <w:rFonts w:ascii="Arial" w:hAnsi="Arial" w:cs="Arial"/>
          <w:b/>
          <w:i/>
          <w:sz w:val="22"/>
          <w:vertAlign w:val="subscript"/>
        </w:rPr>
        <w:t>ROH_short</w:t>
      </w:r>
    </w:p>
    <w:p w:rsidR="00B55A71" w:rsidRPr="0041209E" w:rsidRDefault="00B55A71" w:rsidP="00B55A71">
      <w:pPr>
        <w:widowControl w:val="0"/>
        <w:autoSpaceDE w:val="0"/>
        <w:autoSpaceDN w:val="0"/>
        <w:adjustRightInd w:val="0"/>
        <w:spacing w:line="480" w:lineRule="auto"/>
        <w:rPr>
          <w:rFonts w:ascii="Arial" w:hAnsi="Arial"/>
          <w:sz w:val="22"/>
        </w:rPr>
      </w:pPr>
      <w:r>
        <w:rPr>
          <w:rFonts w:ascii="Arial" w:hAnsi="Arial" w:cs="Arial"/>
          <w:sz w:val="22"/>
        </w:rPr>
        <w:t xml:space="preserve"> </w:t>
      </w:r>
      <w:r>
        <w:rPr>
          <w:rFonts w:ascii="Arial" w:hAnsi="Arial" w:cs="Arial"/>
          <w:sz w:val="22"/>
        </w:rPr>
        <w:tab/>
      </w:r>
      <w:r>
        <w:rPr>
          <w:rFonts w:ascii="Arial" w:hAnsi="Arial"/>
          <w:sz w:val="22"/>
        </w:rPr>
        <w:t xml:space="preserve">As the effect of </w:t>
      </w:r>
      <w:r w:rsidRPr="007A3EC1">
        <w:rPr>
          <w:rFonts w:ascii="Arial" w:hAnsi="Arial" w:cs="Arial"/>
          <w:i/>
          <w:sz w:val="22"/>
        </w:rPr>
        <w:t>F</w:t>
      </w:r>
      <w:r w:rsidRPr="00571291">
        <w:rPr>
          <w:rFonts w:ascii="Arial" w:hAnsi="Arial" w:cs="Arial"/>
          <w:i/>
          <w:sz w:val="22"/>
          <w:vertAlign w:val="subscript"/>
        </w:rPr>
        <w:t>ROH</w:t>
      </w:r>
      <w:r>
        <w:rPr>
          <w:rFonts w:ascii="Arial" w:hAnsi="Arial" w:cs="Arial"/>
          <w:i/>
          <w:sz w:val="22"/>
          <w:vertAlign w:val="subscript"/>
        </w:rPr>
        <w:t>_</w:t>
      </w:r>
      <w:r w:rsidRPr="007A3EC1">
        <w:rPr>
          <w:rFonts w:ascii="Arial" w:hAnsi="Arial" w:cs="Arial"/>
          <w:i/>
          <w:sz w:val="22"/>
          <w:vertAlign w:val="subscript"/>
        </w:rPr>
        <w:t xml:space="preserve">short </w:t>
      </w:r>
      <w:r>
        <w:rPr>
          <w:rFonts w:ascii="Arial" w:hAnsi="Arial" w:cs="Arial"/>
          <w:sz w:val="22"/>
        </w:rPr>
        <w:t xml:space="preserve">(distant inbreeding) controlling for </w:t>
      </w:r>
      <w:r w:rsidRPr="00E84DF7">
        <w:rPr>
          <w:rFonts w:ascii="Arial" w:hAnsi="Arial" w:cs="Arial"/>
          <w:i/>
          <w:sz w:val="22"/>
        </w:rPr>
        <w:t>F</w:t>
      </w:r>
      <w:r>
        <w:rPr>
          <w:rFonts w:ascii="Arial" w:hAnsi="Arial" w:cs="Arial"/>
          <w:i/>
          <w:sz w:val="22"/>
          <w:vertAlign w:val="subscript"/>
        </w:rPr>
        <w:t>ROH_long</w:t>
      </w:r>
      <w:r w:rsidRPr="00E84DF7">
        <w:rPr>
          <w:rFonts w:ascii="Arial" w:hAnsi="Arial" w:cs="Arial"/>
          <w:i/>
          <w:sz w:val="22"/>
          <w:vertAlign w:val="subscript"/>
        </w:rPr>
        <w:t xml:space="preserve"> </w:t>
      </w:r>
      <w:r>
        <w:rPr>
          <w:rFonts w:ascii="Arial" w:hAnsi="Arial" w:cs="Arial"/>
          <w:sz w:val="22"/>
        </w:rPr>
        <w:t xml:space="preserve">(recent inbreeding) might be seen as a way to estimate the effects of autozygosity while controlling for assortative mating (i.e. recent inbreeding) without the need to include sociodemographic covariates, we conducted post-hoc analyses where both </w:t>
      </w:r>
      <w:r w:rsidRPr="00E84DF7">
        <w:rPr>
          <w:rFonts w:ascii="Arial" w:hAnsi="Arial" w:cs="Arial"/>
          <w:i/>
          <w:sz w:val="22"/>
        </w:rPr>
        <w:t>F</w:t>
      </w:r>
      <w:r>
        <w:rPr>
          <w:rFonts w:ascii="Arial" w:hAnsi="Arial" w:cs="Arial"/>
          <w:i/>
          <w:sz w:val="22"/>
          <w:vertAlign w:val="subscript"/>
        </w:rPr>
        <w:t>ROH_</w:t>
      </w:r>
      <w:r w:rsidRPr="00E84DF7">
        <w:rPr>
          <w:rFonts w:ascii="Arial" w:hAnsi="Arial" w:cs="Arial"/>
          <w:i/>
          <w:sz w:val="22"/>
          <w:vertAlign w:val="subscript"/>
        </w:rPr>
        <w:t xml:space="preserve">short </w:t>
      </w:r>
      <w:r>
        <w:rPr>
          <w:rFonts w:ascii="Arial" w:hAnsi="Arial" w:cs="Arial"/>
          <w:sz w:val="22"/>
        </w:rPr>
        <w:t xml:space="preserve">and </w:t>
      </w:r>
      <w:r w:rsidRPr="00E84DF7">
        <w:rPr>
          <w:rFonts w:ascii="Arial" w:hAnsi="Arial" w:cs="Arial"/>
          <w:i/>
          <w:sz w:val="22"/>
        </w:rPr>
        <w:t>F</w:t>
      </w:r>
      <w:r>
        <w:rPr>
          <w:rFonts w:ascii="Arial" w:hAnsi="Arial" w:cs="Arial"/>
          <w:i/>
          <w:sz w:val="22"/>
          <w:vertAlign w:val="subscript"/>
        </w:rPr>
        <w:t>ROH_long</w:t>
      </w:r>
      <w:r w:rsidRPr="00E84DF7">
        <w:rPr>
          <w:rFonts w:ascii="Arial" w:hAnsi="Arial" w:cs="Arial"/>
          <w:i/>
          <w:sz w:val="22"/>
          <w:vertAlign w:val="subscript"/>
        </w:rPr>
        <w:t xml:space="preserve"> </w:t>
      </w:r>
      <w:r>
        <w:rPr>
          <w:rFonts w:ascii="Arial" w:hAnsi="Arial" w:cs="Arial"/>
          <w:sz w:val="22"/>
        </w:rPr>
        <w:t xml:space="preserve">were entered into the regression model as predictors simultaneously. These results are presented in Table S7; only AFS </w:t>
      </w:r>
      <w:r w:rsidR="008A5AF7">
        <w:rPr>
          <w:rFonts w:ascii="Arial" w:hAnsi="Arial" w:cs="Arial"/>
          <w:sz w:val="22"/>
        </w:rPr>
        <w:t>and religious group participation were</w:t>
      </w:r>
      <w:r>
        <w:rPr>
          <w:rFonts w:ascii="Arial" w:hAnsi="Arial" w:cs="Arial"/>
          <w:sz w:val="22"/>
        </w:rPr>
        <w:t xml:space="preserve"> significantly associated with </w:t>
      </w:r>
      <w:r w:rsidRPr="00D81934">
        <w:rPr>
          <w:rFonts w:ascii="Arial" w:hAnsi="Arial" w:cs="Arial"/>
          <w:i/>
          <w:sz w:val="22"/>
        </w:rPr>
        <w:t>F</w:t>
      </w:r>
      <w:r w:rsidRPr="00D81934">
        <w:rPr>
          <w:rFonts w:ascii="Arial" w:hAnsi="Arial" w:cs="Arial"/>
          <w:i/>
          <w:sz w:val="22"/>
          <w:vertAlign w:val="subscript"/>
        </w:rPr>
        <w:t>RO</w:t>
      </w:r>
      <w:r>
        <w:rPr>
          <w:rFonts w:ascii="Arial" w:hAnsi="Arial" w:cs="Arial"/>
          <w:i/>
          <w:sz w:val="22"/>
          <w:vertAlign w:val="subscript"/>
        </w:rPr>
        <w:t>H_short</w:t>
      </w:r>
      <w:r>
        <w:rPr>
          <w:rFonts w:ascii="Arial" w:hAnsi="Arial" w:cs="Arial"/>
          <w:sz w:val="22"/>
        </w:rPr>
        <w:t xml:space="preserve"> in this model. Unfortunately, this method has two major drawbacks: first, because of the high collinearity between </w:t>
      </w:r>
      <w:r w:rsidRPr="00E84DF7">
        <w:rPr>
          <w:rFonts w:ascii="Arial" w:hAnsi="Arial" w:cs="Arial"/>
          <w:i/>
          <w:sz w:val="22"/>
        </w:rPr>
        <w:t>F</w:t>
      </w:r>
      <w:r>
        <w:rPr>
          <w:rFonts w:ascii="Arial" w:hAnsi="Arial" w:cs="Arial"/>
          <w:i/>
          <w:sz w:val="22"/>
          <w:vertAlign w:val="subscript"/>
        </w:rPr>
        <w:t>ROH_</w:t>
      </w:r>
      <w:r w:rsidRPr="00E84DF7">
        <w:rPr>
          <w:rFonts w:ascii="Arial" w:hAnsi="Arial" w:cs="Arial"/>
          <w:i/>
          <w:sz w:val="22"/>
          <w:vertAlign w:val="subscript"/>
        </w:rPr>
        <w:t xml:space="preserve">short </w:t>
      </w:r>
      <w:r>
        <w:rPr>
          <w:rFonts w:ascii="Arial" w:hAnsi="Arial" w:cs="Arial"/>
          <w:sz w:val="22"/>
        </w:rPr>
        <w:t xml:space="preserve">and </w:t>
      </w:r>
      <w:r w:rsidRPr="00E84DF7">
        <w:rPr>
          <w:rFonts w:ascii="Arial" w:hAnsi="Arial" w:cs="Arial"/>
          <w:i/>
          <w:sz w:val="22"/>
        </w:rPr>
        <w:t>F</w:t>
      </w:r>
      <w:r>
        <w:rPr>
          <w:rFonts w:ascii="Arial" w:hAnsi="Arial" w:cs="Arial"/>
          <w:i/>
          <w:sz w:val="22"/>
          <w:vertAlign w:val="subscript"/>
        </w:rPr>
        <w:t>ROH_long</w:t>
      </w:r>
      <w:r>
        <w:rPr>
          <w:rFonts w:ascii="Arial" w:hAnsi="Arial" w:cs="Arial"/>
          <w:sz w:val="22"/>
        </w:rPr>
        <w:t xml:space="preserve">, the standard errors of these predictors in the model are larger than when </w:t>
      </w:r>
      <w:r w:rsidRPr="00E84DF7">
        <w:rPr>
          <w:rFonts w:ascii="Arial" w:hAnsi="Arial" w:cs="Arial"/>
          <w:i/>
          <w:sz w:val="22"/>
        </w:rPr>
        <w:t>F</w:t>
      </w:r>
      <w:r>
        <w:rPr>
          <w:rFonts w:ascii="Arial" w:hAnsi="Arial" w:cs="Arial"/>
          <w:i/>
          <w:sz w:val="22"/>
          <w:vertAlign w:val="subscript"/>
        </w:rPr>
        <w:t>ROH_</w:t>
      </w:r>
      <w:r w:rsidRPr="00E84DF7">
        <w:rPr>
          <w:rFonts w:ascii="Arial" w:hAnsi="Arial" w:cs="Arial"/>
          <w:i/>
          <w:sz w:val="22"/>
          <w:vertAlign w:val="subscript"/>
        </w:rPr>
        <w:t xml:space="preserve">short </w:t>
      </w:r>
      <w:r>
        <w:rPr>
          <w:rFonts w:ascii="Arial" w:hAnsi="Arial" w:cs="Arial"/>
          <w:sz w:val="22"/>
        </w:rPr>
        <w:t xml:space="preserve">and </w:t>
      </w:r>
      <w:r w:rsidRPr="00E84DF7">
        <w:rPr>
          <w:rFonts w:ascii="Arial" w:hAnsi="Arial" w:cs="Arial"/>
          <w:i/>
          <w:sz w:val="22"/>
        </w:rPr>
        <w:lastRenderedPageBreak/>
        <w:t>F</w:t>
      </w:r>
      <w:r>
        <w:rPr>
          <w:rFonts w:ascii="Arial" w:hAnsi="Arial" w:cs="Arial"/>
          <w:i/>
          <w:sz w:val="22"/>
          <w:vertAlign w:val="subscript"/>
        </w:rPr>
        <w:t>ROH_long</w:t>
      </w:r>
      <w:r w:rsidRPr="00E84DF7">
        <w:rPr>
          <w:rFonts w:ascii="Arial" w:hAnsi="Arial" w:cs="Arial"/>
          <w:i/>
          <w:sz w:val="22"/>
          <w:vertAlign w:val="subscript"/>
        </w:rPr>
        <w:t xml:space="preserve"> </w:t>
      </w:r>
      <w:r>
        <w:rPr>
          <w:rFonts w:ascii="Arial" w:hAnsi="Arial" w:cs="Arial"/>
          <w:sz w:val="22"/>
        </w:rPr>
        <w:t xml:space="preserve">are tested in separate models. Second, although there is an average difference in time to most recent common ancestor when comparing </w:t>
      </w:r>
      <w:r w:rsidRPr="00E84DF7">
        <w:rPr>
          <w:rFonts w:ascii="Arial" w:hAnsi="Arial" w:cs="Arial"/>
          <w:i/>
          <w:sz w:val="22"/>
        </w:rPr>
        <w:t>F</w:t>
      </w:r>
      <w:r>
        <w:rPr>
          <w:rFonts w:ascii="Arial" w:hAnsi="Arial" w:cs="Arial"/>
          <w:i/>
          <w:sz w:val="22"/>
          <w:vertAlign w:val="subscript"/>
        </w:rPr>
        <w:t>ROH_</w:t>
      </w:r>
      <w:r w:rsidRPr="00E84DF7">
        <w:rPr>
          <w:rFonts w:ascii="Arial" w:hAnsi="Arial" w:cs="Arial"/>
          <w:i/>
          <w:sz w:val="22"/>
          <w:vertAlign w:val="subscript"/>
        </w:rPr>
        <w:t xml:space="preserve">short </w:t>
      </w:r>
      <w:r>
        <w:rPr>
          <w:rFonts w:ascii="Arial" w:hAnsi="Arial" w:cs="Arial"/>
          <w:sz w:val="22"/>
        </w:rPr>
        <w:t xml:space="preserve">to </w:t>
      </w:r>
      <w:r w:rsidRPr="00E84DF7">
        <w:rPr>
          <w:rFonts w:ascii="Arial" w:hAnsi="Arial" w:cs="Arial"/>
          <w:i/>
          <w:sz w:val="22"/>
        </w:rPr>
        <w:t>F</w:t>
      </w:r>
      <w:r>
        <w:rPr>
          <w:rFonts w:ascii="Arial" w:hAnsi="Arial" w:cs="Arial"/>
          <w:i/>
          <w:sz w:val="22"/>
          <w:vertAlign w:val="subscript"/>
        </w:rPr>
        <w:t>ROH_long</w:t>
      </w:r>
      <w:r>
        <w:rPr>
          <w:rFonts w:ascii="Arial" w:hAnsi="Arial" w:cs="Arial"/>
          <w:sz w:val="22"/>
        </w:rPr>
        <w:t xml:space="preserve">, recent inbreeding can also produce many short ROHs (as ROHs are exponentially distributed). Thus, while calculating </w:t>
      </w:r>
      <w:r w:rsidRPr="000A2F7C">
        <w:rPr>
          <w:rFonts w:ascii="Arial" w:hAnsi="Arial"/>
          <w:i/>
          <w:sz w:val="22"/>
          <w:szCs w:val="20"/>
        </w:rPr>
        <w:t>F</w:t>
      </w:r>
      <w:r w:rsidRPr="000A2F7C">
        <w:rPr>
          <w:rFonts w:ascii="Arial" w:hAnsi="Arial"/>
          <w:i/>
          <w:sz w:val="22"/>
          <w:szCs w:val="20"/>
          <w:vertAlign w:val="subscript"/>
        </w:rPr>
        <w:t>ROH</w:t>
      </w:r>
      <w:r>
        <w:rPr>
          <w:rFonts w:ascii="Arial" w:hAnsi="Arial"/>
          <w:sz w:val="22"/>
          <w:szCs w:val="20"/>
        </w:rPr>
        <w:t xml:space="preserve"> from short ROHs is likely a better estimate of true autozygosity due to distant inbreeding, it is not a perfectly accurate method, nor is it exempt from potential confounding due to recent inbreeding caused by e.g. assortative mating. </w:t>
      </w:r>
    </w:p>
    <w:p w:rsidR="00B55A71" w:rsidRDefault="00B55A71" w:rsidP="00B55A71">
      <w:pPr>
        <w:spacing w:line="480" w:lineRule="auto"/>
        <w:rPr>
          <w:rFonts w:ascii="Arial" w:hAnsi="Arial" w:cs="Arial"/>
          <w:b/>
          <w:sz w:val="22"/>
        </w:rPr>
      </w:pPr>
      <w:r>
        <w:rPr>
          <w:rFonts w:ascii="Arial" w:hAnsi="Arial" w:cs="Arial"/>
          <w:b/>
          <w:sz w:val="22"/>
        </w:rPr>
        <w:t xml:space="preserve">Testing for significant indirect mediation effect of the sociodemographic variables on </w:t>
      </w:r>
      <w:r>
        <w:rPr>
          <w:rFonts w:ascii="Arial" w:hAnsi="Arial" w:cs="Arial"/>
          <w:b/>
          <w:i/>
          <w:sz w:val="22"/>
        </w:rPr>
        <w:t>F</w:t>
      </w:r>
      <w:r>
        <w:rPr>
          <w:rFonts w:ascii="Arial" w:hAnsi="Arial" w:cs="Arial"/>
          <w:b/>
          <w:i/>
          <w:sz w:val="22"/>
          <w:vertAlign w:val="subscript"/>
        </w:rPr>
        <w:t xml:space="preserve">ROH </w:t>
      </w:r>
      <w:r>
        <w:rPr>
          <w:rFonts w:ascii="Arial" w:hAnsi="Arial" w:cs="Arial"/>
          <w:b/>
          <w:sz w:val="22"/>
        </w:rPr>
        <w:t xml:space="preserve">– trait relationships </w:t>
      </w:r>
    </w:p>
    <w:p w:rsidR="00B55A71" w:rsidRPr="00775831" w:rsidRDefault="00B55A71" w:rsidP="00B55A71">
      <w:pPr>
        <w:spacing w:line="480" w:lineRule="auto"/>
        <w:ind w:firstLine="720"/>
        <w:rPr>
          <w:rFonts w:ascii="Arial" w:hAnsi="Arial"/>
          <w:sz w:val="22"/>
        </w:rPr>
      </w:pPr>
      <w:r>
        <w:rPr>
          <w:rFonts w:ascii="Arial" w:hAnsi="Arial"/>
          <w:sz w:val="22"/>
          <w:szCs w:val="20"/>
        </w:rPr>
        <w:t xml:space="preserve">To formally test whether the seven sociodemographic variables, in combination, significantly mediated the </w:t>
      </w:r>
      <w:r w:rsidRPr="000A2F7C">
        <w:rPr>
          <w:rFonts w:ascii="Arial" w:hAnsi="Arial"/>
          <w:i/>
          <w:sz w:val="22"/>
          <w:szCs w:val="20"/>
        </w:rPr>
        <w:t>F</w:t>
      </w:r>
      <w:r w:rsidRPr="000A2F7C">
        <w:rPr>
          <w:rFonts w:ascii="Arial" w:hAnsi="Arial"/>
          <w:i/>
          <w:sz w:val="22"/>
          <w:szCs w:val="20"/>
          <w:vertAlign w:val="subscript"/>
        </w:rPr>
        <w:t>ROH</w:t>
      </w:r>
      <w:r>
        <w:rPr>
          <w:rFonts w:ascii="Arial" w:hAnsi="Arial"/>
          <w:sz w:val="22"/>
          <w:szCs w:val="20"/>
        </w:rPr>
        <w:t xml:space="preserve"> associations identified in the first model, we followed Kenny and Judd’s recommendations</w:t>
      </w:r>
      <w:r>
        <w:rPr>
          <w:rFonts w:ascii="Arial" w:hAnsi="Arial"/>
          <w:sz w:val="22"/>
          <w:szCs w:val="20"/>
        </w:rPr>
        <w:fldChar w:fldCharType="begin" w:fldLock="1"/>
      </w:r>
      <w:r>
        <w:rPr>
          <w:rFonts w:ascii="Arial" w:hAnsi="Arial"/>
          <w:sz w:val="22"/>
          <w:szCs w:val="20"/>
        </w:rPr>
        <w:instrText>ADDIN CSL_CITATION { "citationItems" : [ { "id" : "ITEM-1", "itemData" : { "ISSN" : "0193-841X", "author" : [ { "dropping-particle" : "", "family" : "Judd", "given" : "Charles M", "non-dropping-particle" : "", "parse-names" : false, "suffix" : "" }, { "dropping-particle" : "", "family" : "Kenny", "given" : "David A", "non-dropping-particle" : "", "parse-names" : false, "suffix" : "" } ], "container-title" : "Evaluation review", "id" : "ITEM-1", "issue" : "5", "issued" : { "date-parts" : [ [ "1981" ] ] }, "page" : "602-619", "publisher" : "Sage Publications Sage CA: Thousand Oaks, CA", "title" : "Process analysis: Estimating mediation in treatment evaluations", "type" : "article-journal", "volume" : "5" }, "uris" : [ "http://www.mendeley.com/documents/?uuid=fff9813e-bb3b-4f8f-a424-99c305264dcf" ] } ], "mendeley" : { "formattedCitation" : "&lt;sup&gt;8&lt;/sup&gt;", "plainTextFormattedCitation" : "8", "previouslyFormattedCitation" : "&lt;sup&gt;8&lt;/sup&gt;" }, "properties" : {  }, "schema" : "https://github.com/citation-style-language/schema/raw/master/csl-citation.json" }</w:instrText>
      </w:r>
      <w:r>
        <w:rPr>
          <w:rFonts w:ascii="Arial" w:hAnsi="Arial"/>
          <w:sz w:val="22"/>
          <w:szCs w:val="20"/>
        </w:rPr>
        <w:fldChar w:fldCharType="separate"/>
      </w:r>
      <w:r w:rsidRPr="00D1674A">
        <w:rPr>
          <w:rFonts w:ascii="Arial" w:hAnsi="Arial"/>
          <w:noProof/>
          <w:sz w:val="22"/>
          <w:szCs w:val="20"/>
          <w:vertAlign w:val="superscript"/>
        </w:rPr>
        <w:t>8</w:t>
      </w:r>
      <w:r>
        <w:rPr>
          <w:rFonts w:ascii="Arial" w:hAnsi="Arial"/>
          <w:sz w:val="22"/>
          <w:szCs w:val="20"/>
        </w:rPr>
        <w:fldChar w:fldCharType="end"/>
      </w:r>
      <w:r>
        <w:rPr>
          <w:rFonts w:ascii="Arial" w:hAnsi="Arial"/>
          <w:sz w:val="22"/>
          <w:szCs w:val="20"/>
        </w:rPr>
        <w:t xml:space="preserve"> for calculating the indirect effect size and then bootstrapped with 1,000 resamples to get the 99% confidence intervals around the indirect path coefficients for any significant </w:t>
      </w:r>
      <w:r w:rsidRPr="000A2F7C">
        <w:rPr>
          <w:rFonts w:ascii="Arial" w:hAnsi="Arial"/>
          <w:i/>
          <w:sz w:val="22"/>
          <w:szCs w:val="20"/>
        </w:rPr>
        <w:t>F</w:t>
      </w:r>
      <w:r w:rsidRPr="000A2F7C">
        <w:rPr>
          <w:rFonts w:ascii="Arial" w:hAnsi="Arial"/>
          <w:i/>
          <w:sz w:val="22"/>
          <w:szCs w:val="20"/>
          <w:vertAlign w:val="subscript"/>
        </w:rPr>
        <w:t>ROH</w:t>
      </w:r>
      <w:r>
        <w:rPr>
          <w:rFonts w:ascii="Arial" w:hAnsi="Arial"/>
          <w:i/>
          <w:sz w:val="22"/>
          <w:szCs w:val="20"/>
          <w:vertAlign w:val="subscript"/>
        </w:rPr>
        <w:t xml:space="preserve"> </w:t>
      </w:r>
      <w:r>
        <w:rPr>
          <w:rFonts w:ascii="Arial" w:hAnsi="Arial"/>
          <w:sz w:val="22"/>
          <w:szCs w:val="20"/>
        </w:rPr>
        <w:t>– trait associations we observed in our first set of models.</w:t>
      </w:r>
      <w:r>
        <w:rPr>
          <w:rFonts w:ascii="Arial" w:hAnsi="Arial"/>
          <w:sz w:val="22"/>
        </w:rPr>
        <w:t xml:space="preserve"> Specifically, Judd and Kenny recommend calculating the indirect effect by a difference of coefficients method. If Model 1 is </w:t>
      </w:r>
      <m:oMath>
        <m:r>
          <w:rPr>
            <w:rFonts w:ascii="Cambria Math" w:hAnsi="Cambria Math"/>
            <w:sz w:val="22"/>
          </w:rPr>
          <m:t xml:space="preserve">Y= </m:t>
        </m:r>
        <m:sSub>
          <m:sSubPr>
            <m:ctrlPr>
              <w:rPr>
                <w:rFonts w:ascii="Cambria Math" w:hAnsi="Cambria Math"/>
                <w:i/>
                <w:sz w:val="22"/>
              </w:rPr>
            </m:ctrlPr>
          </m:sSubPr>
          <m:e>
            <m:r>
              <w:rPr>
                <w:rFonts w:ascii="Cambria Math" w:hAnsi="Cambria Math"/>
                <w:sz w:val="22"/>
              </w:rPr>
              <m:t>β</m:t>
            </m:r>
          </m:e>
          <m:sub>
            <m:r>
              <w:rPr>
                <w:rFonts w:ascii="Cambria Math" w:hAnsi="Cambria Math"/>
                <w:sz w:val="22"/>
              </w:rPr>
              <m:t>0</m:t>
            </m:r>
          </m:sub>
        </m:sSub>
        <m:r>
          <w:rPr>
            <w:rFonts w:ascii="Cambria Math" w:hAnsi="Cambria Math"/>
            <w:sz w:val="22"/>
          </w:rPr>
          <m:t xml:space="preserve">+ </m:t>
        </m:r>
        <m:sSub>
          <m:sSubPr>
            <m:ctrlPr>
              <w:rPr>
                <w:rFonts w:ascii="Cambria Math" w:hAnsi="Cambria Math"/>
                <w:i/>
                <w:sz w:val="22"/>
              </w:rPr>
            </m:ctrlPr>
          </m:sSubPr>
          <m:e>
            <m:r>
              <w:rPr>
                <w:rFonts w:ascii="Cambria Math" w:hAnsi="Cambria Math"/>
                <w:sz w:val="22"/>
              </w:rPr>
              <m:t>β</m:t>
            </m:r>
          </m:e>
          <m:sub>
            <m:r>
              <w:rPr>
                <w:rFonts w:ascii="Cambria Math" w:hAnsi="Cambria Math"/>
                <w:sz w:val="22"/>
              </w:rPr>
              <m:t>1</m:t>
            </m:r>
          </m:sub>
        </m:sSub>
        <m:r>
          <w:rPr>
            <w:rFonts w:ascii="Cambria Math" w:hAnsi="Cambria Math"/>
            <w:sz w:val="22"/>
          </w:rPr>
          <m:t xml:space="preserve">X+ </m:t>
        </m:r>
        <m:sSub>
          <m:sSubPr>
            <m:ctrlPr>
              <w:rPr>
                <w:rFonts w:ascii="Cambria Math" w:hAnsi="Cambria Math"/>
                <w:i/>
                <w:sz w:val="22"/>
              </w:rPr>
            </m:ctrlPr>
          </m:sSubPr>
          <m:e>
            <m:r>
              <w:rPr>
                <w:rFonts w:ascii="Cambria Math" w:hAnsi="Cambria Math"/>
                <w:sz w:val="22"/>
              </w:rPr>
              <m:t>β</m:t>
            </m:r>
          </m:e>
          <m:sub>
            <m:r>
              <w:rPr>
                <w:rFonts w:ascii="Cambria Math" w:hAnsi="Cambria Math"/>
                <w:sz w:val="22"/>
              </w:rPr>
              <m:t>2</m:t>
            </m:r>
          </m:sub>
        </m:sSub>
        <m:r>
          <w:rPr>
            <w:rFonts w:ascii="Cambria Math" w:hAnsi="Cambria Math"/>
            <w:sz w:val="22"/>
          </w:rPr>
          <m:t>M+e</m:t>
        </m:r>
      </m:oMath>
      <w:r>
        <w:rPr>
          <w:rFonts w:ascii="Arial" w:eastAsiaTheme="minorEastAsia" w:hAnsi="Arial"/>
          <w:sz w:val="22"/>
        </w:rPr>
        <w:t xml:space="preserve">, and Model 2 is given as </w:t>
      </w:r>
      <m:oMath>
        <m:r>
          <w:rPr>
            <w:rFonts w:ascii="Cambria Math" w:hAnsi="Cambria Math"/>
            <w:sz w:val="22"/>
          </w:rPr>
          <m:t>Y=</m:t>
        </m:r>
        <m:sSub>
          <m:sSubPr>
            <m:ctrlPr>
              <w:rPr>
                <w:rFonts w:ascii="Cambria Math" w:hAnsi="Cambria Math"/>
                <w:i/>
                <w:sz w:val="22"/>
              </w:rPr>
            </m:ctrlPr>
          </m:sSubPr>
          <m:e>
            <m:r>
              <w:rPr>
                <w:rFonts w:ascii="Cambria Math" w:hAnsi="Cambria Math"/>
                <w:sz w:val="22"/>
              </w:rPr>
              <m:t>β</m:t>
            </m:r>
          </m:e>
          <m:sub>
            <m:r>
              <w:rPr>
                <w:rFonts w:ascii="Cambria Math" w:hAnsi="Cambria Math"/>
                <w:sz w:val="22"/>
              </w:rPr>
              <m:t>0</m:t>
            </m:r>
          </m:sub>
        </m:sSub>
        <m:r>
          <w:rPr>
            <w:rFonts w:ascii="Cambria Math" w:hAnsi="Cambria Math"/>
            <w:sz w:val="22"/>
          </w:rPr>
          <m:t>+ βX+e</m:t>
        </m:r>
      </m:oMath>
      <w:r>
        <w:rPr>
          <w:rFonts w:ascii="Arial" w:hAnsi="Arial"/>
          <w:sz w:val="22"/>
          <w:szCs w:val="20"/>
        </w:rPr>
        <w:t xml:space="preserve"> , then the indirect effect of the mediator </w:t>
      </w:r>
      <w:r>
        <w:rPr>
          <w:rFonts w:ascii="Arial" w:hAnsi="Arial"/>
          <w:i/>
          <w:sz w:val="22"/>
          <w:szCs w:val="20"/>
        </w:rPr>
        <w:t xml:space="preserve">M </w:t>
      </w:r>
      <w:r>
        <w:rPr>
          <w:rFonts w:ascii="Arial" w:hAnsi="Arial"/>
          <w:sz w:val="22"/>
          <w:szCs w:val="20"/>
        </w:rPr>
        <w:t xml:space="preserve">on the relationship between </w:t>
      </w:r>
      <w:r>
        <w:rPr>
          <w:rFonts w:ascii="Arial" w:hAnsi="Arial"/>
          <w:i/>
          <w:sz w:val="22"/>
          <w:szCs w:val="20"/>
        </w:rPr>
        <w:t xml:space="preserve">X </w:t>
      </w:r>
      <w:r>
        <w:rPr>
          <w:rFonts w:ascii="Arial" w:hAnsi="Arial"/>
          <w:sz w:val="22"/>
          <w:szCs w:val="20"/>
        </w:rPr>
        <w:t xml:space="preserve">and </w:t>
      </w:r>
      <w:r>
        <w:rPr>
          <w:rFonts w:ascii="Arial" w:hAnsi="Arial"/>
          <w:i/>
          <w:sz w:val="22"/>
          <w:szCs w:val="20"/>
        </w:rPr>
        <w:t xml:space="preserve">Y </w:t>
      </w:r>
      <w:r>
        <w:rPr>
          <w:rFonts w:ascii="Arial" w:hAnsi="Arial"/>
          <w:sz w:val="22"/>
          <w:szCs w:val="20"/>
        </w:rPr>
        <w:t xml:space="preserve">can be calculated as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indirect</m:t>
            </m:r>
          </m:sub>
        </m:sSub>
        <m:r>
          <w:rPr>
            <w:rFonts w:ascii="Cambria Math" w:hAnsi="Cambria Math"/>
            <w:sz w:val="22"/>
            <w:szCs w:val="20"/>
          </w:rPr>
          <m:t xml:space="preserve">= β- </m:t>
        </m:r>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1</m:t>
            </m:r>
          </m:sub>
        </m:sSub>
      </m:oMath>
      <w:r>
        <w:rPr>
          <w:rFonts w:ascii="Arial" w:eastAsiaTheme="minorEastAsia" w:hAnsi="Arial"/>
          <w:sz w:val="22"/>
          <w:szCs w:val="20"/>
        </w:rPr>
        <w:t xml:space="preserve">. In the current study, we included the 7 sociodemographic variables in the regression model as ‘M’, so our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indirect</m:t>
            </m:r>
          </m:sub>
        </m:sSub>
      </m:oMath>
      <w:r>
        <w:rPr>
          <w:rFonts w:ascii="Arial" w:eastAsiaTheme="minorEastAsia" w:hAnsi="Arial"/>
          <w:sz w:val="22"/>
          <w:szCs w:val="20"/>
        </w:rPr>
        <w:t xml:space="preserve"> was calculated by subtracting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FROH</m:t>
            </m:r>
          </m:sub>
        </m:sSub>
      </m:oMath>
      <w:r>
        <w:rPr>
          <w:rFonts w:ascii="Arial" w:eastAsiaTheme="minorEastAsia" w:hAnsi="Arial"/>
          <w:sz w:val="22"/>
          <w:szCs w:val="20"/>
        </w:rPr>
        <w:t xml:space="preserve">in the “full” model (with sociodemographic covariates) from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FROH</m:t>
            </m:r>
          </m:sub>
        </m:sSub>
      </m:oMath>
      <w:r>
        <w:rPr>
          <w:rFonts w:ascii="Arial" w:eastAsiaTheme="minorEastAsia" w:hAnsi="Arial"/>
          <w:sz w:val="22"/>
          <w:szCs w:val="20"/>
        </w:rPr>
        <w:t xml:space="preserve">in the “simple” model (no sociodemographic covariates). We then tested the significance of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indirect</m:t>
            </m:r>
          </m:sub>
        </m:sSub>
      </m:oMath>
      <w:r>
        <w:rPr>
          <w:rFonts w:ascii="Arial" w:eastAsiaTheme="minorEastAsia" w:hAnsi="Arial"/>
          <w:sz w:val="22"/>
          <w:szCs w:val="20"/>
        </w:rPr>
        <w:t xml:space="preserve"> by using percentile bootstrapping to obtain the standard error and 95% confidence intervals around the </w:t>
      </w:r>
      <m:oMath>
        <m:sSub>
          <m:sSubPr>
            <m:ctrlPr>
              <w:rPr>
                <w:rFonts w:ascii="Cambria Math" w:hAnsi="Cambria Math"/>
                <w:i/>
                <w:sz w:val="22"/>
                <w:szCs w:val="20"/>
              </w:rPr>
            </m:ctrlPr>
          </m:sSubPr>
          <m:e>
            <m:r>
              <w:rPr>
                <w:rFonts w:ascii="Cambria Math" w:hAnsi="Cambria Math"/>
                <w:sz w:val="22"/>
                <w:szCs w:val="20"/>
              </w:rPr>
              <m:t>β</m:t>
            </m:r>
          </m:e>
          <m:sub>
            <m:r>
              <w:rPr>
                <w:rFonts w:ascii="Cambria Math" w:hAnsi="Cambria Math"/>
                <w:sz w:val="22"/>
                <w:szCs w:val="20"/>
              </w:rPr>
              <m:t>indirect</m:t>
            </m:r>
          </m:sub>
        </m:sSub>
      </m:oMath>
      <w:r>
        <w:rPr>
          <w:rFonts w:ascii="Arial" w:eastAsiaTheme="minorEastAsia" w:hAnsi="Arial"/>
          <w:sz w:val="22"/>
          <w:szCs w:val="20"/>
        </w:rPr>
        <w:t xml:space="preserve"> estimate (analyses conducted using the ‘boot’ package in R). </w:t>
      </w:r>
      <w:r w:rsidRPr="0071697B">
        <w:rPr>
          <w:rFonts w:ascii="Arial" w:hAnsi="Arial"/>
          <w:sz w:val="22"/>
          <w:szCs w:val="20"/>
        </w:rPr>
        <w:t>We</w:t>
      </w:r>
      <w:r>
        <w:rPr>
          <w:rFonts w:ascii="Arial" w:hAnsi="Arial"/>
          <w:sz w:val="22"/>
          <w:szCs w:val="20"/>
        </w:rPr>
        <w:t xml:space="preserve"> found no significant indirect </w:t>
      </w:r>
      <w:r>
        <w:rPr>
          <w:rFonts w:ascii="Arial" w:hAnsi="Arial"/>
          <w:sz w:val="22"/>
          <w:szCs w:val="20"/>
        </w:rPr>
        <w:lastRenderedPageBreak/>
        <w:t xml:space="preserve">effects for any of the five traits, suggesting that the relationship between </w:t>
      </w:r>
      <w:r>
        <w:rPr>
          <w:rFonts w:ascii="Arial" w:hAnsi="Arial"/>
          <w:i/>
          <w:sz w:val="22"/>
          <w:szCs w:val="20"/>
        </w:rPr>
        <w:t>F</w:t>
      </w:r>
      <w:r>
        <w:rPr>
          <w:rFonts w:ascii="Arial" w:hAnsi="Arial"/>
          <w:i/>
          <w:sz w:val="22"/>
          <w:szCs w:val="20"/>
          <w:vertAlign w:val="subscript"/>
        </w:rPr>
        <w:t xml:space="preserve">ROH </w:t>
      </w:r>
      <w:r>
        <w:rPr>
          <w:rFonts w:ascii="Arial" w:hAnsi="Arial"/>
          <w:sz w:val="22"/>
          <w:szCs w:val="20"/>
        </w:rPr>
        <w:t>and these traits is only weakly mediated by subjects’ sociodemographic characteristics.</w:t>
      </w:r>
    </w:p>
    <w:p w:rsidR="00B55A71" w:rsidRDefault="00B55A71" w:rsidP="00B55A71">
      <w:pPr>
        <w:spacing w:line="480" w:lineRule="auto"/>
        <w:rPr>
          <w:rFonts w:ascii="Arial" w:hAnsi="Arial" w:cs="Arial"/>
          <w:b/>
          <w:sz w:val="22"/>
        </w:rPr>
      </w:pPr>
      <w:r w:rsidRPr="006D1A09">
        <w:rPr>
          <w:rFonts w:ascii="Arial" w:hAnsi="Arial" w:cs="Arial"/>
          <w:b/>
          <w:sz w:val="22"/>
        </w:rPr>
        <w:t>Simulations</w:t>
      </w:r>
      <w:r>
        <w:rPr>
          <w:rFonts w:ascii="Arial" w:hAnsi="Arial" w:cs="Arial"/>
          <w:b/>
          <w:sz w:val="22"/>
        </w:rPr>
        <w:t xml:space="preserve"> testing whether </w:t>
      </w:r>
      <w:r>
        <w:rPr>
          <w:rFonts w:ascii="Arial" w:hAnsi="Arial" w:cs="Arial"/>
          <w:b/>
          <w:i/>
          <w:sz w:val="22"/>
        </w:rPr>
        <w:t>F</w:t>
      </w:r>
      <w:r>
        <w:rPr>
          <w:rFonts w:ascii="Arial" w:hAnsi="Arial" w:cs="Arial"/>
          <w:b/>
          <w:i/>
          <w:sz w:val="22"/>
          <w:vertAlign w:val="subscript"/>
        </w:rPr>
        <w:t xml:space="preserve">SNP </w:t>
      </w:r>
      <w:r>
        <w:rPr>
          <w:rFonts w:ascii="Arial" w:hAnsi="Arial" w:cs="Arial"/>
          <w:b/>
          <w:sz w:val="22"/>
        </w:rPr>
        <w:t xml:space="preserve">and </w:t>
      </w:r>
      <w:r>
        <w:rPr>
          <w:rFonts w:ascii="Arial" w:hAnsi="Arial" w:cs="Arial"/>
          <w:b/>
          <w:i/>
          <w:sz w:val="22"/>
        </w:rPr>
        <w:t>F</w:t>
      </w:r>
      <w:r>
        <w:rPr>
          <w:rFonts w:ascii="Arial" w:hAnsi="Arial" w:cs="Arial"/>
          <w:b/>
          <w:i/>
          <w:sz w:val="22"/>
          <w:vertAlign w:val="subscript"/>
        </w:rPr>
        <w:t xml:space="preserve">ROH </w:t>
      </w:r>
      <w:r>
        <w:rPr>
          <w:rFonts w:ascii="Arial" w:hAnsi="Arial" w:cs="Arial"/>
          <w:b/>
          <w:sz w:val="22"/>
        </w:rPr>
        <w:t xml:space="preserve">differentially associate with complex traits caused by homozygosity at rare vs. common variants </w:t>
      </w:r>
    </w:p>
    <w:p w:rsidR="00B55A71" w:rsidRPr="00B91F8C" w:rsidRDefault="00B55A71" w:rsidP="00B55A71">
      <w:pPr>
        <w:pStyle w:val="Heading3"/>
        <w:ind w:firstLine="720"/>
        <w:rPr>
          <w:rFonts w:ascii="Arial" w:hAnsi="Arial" w:cs="Arial"/>
          <w:b w:val="0"/>
          <w:sz w:val="22"/>
        </w:rPr>
      </w:pPr>
      <w:r w:rsidRPr="00B91F8C">
        <w:rPr>
          <w:rFonts w:ascii="Arial" w:hAnsi="Arial" w:cs="Arial"/>
          <w:b w:val="0"/>
          <w:sz w:val="22"/>
        </w:rPr>
        <w:t xml:space="preserve">To ensure that our regression models including both </w:t>
      </w:r>
      <w:r w:rsidRPr="00B91F8C">
        <w:rPr>
          <w:rFonts w:ascii="Arial" w:hAnsi="Arial" w:cs="Arial"/>
          <w:b w:val="0"/>
          <w:i/>
          <w:sz w:val="22"/>
        </w:rPr>
        <w:t>F</w:t>
      </w:r>
      <w:r w:rsidRPr="00B91F8C">
        <w:rPr>
          <w:rFonts w:ascii="Arial" w:hAnsi="Arial" w:cs="Arial"/>
          <w:b w:val="0"/>
          <w:i/>
          <w:sz w:val="22"/>
          <w:vertAlign w:val="subscript"/>
        </w:rPr>
        <w:t xml:space="preserve">ROH </w:t>
      </w:r>
      <w:r w:rsidRPr="00B91F8C">
        <w:rPr>
          <w:rFonts w:ascii="Arial" w:hAnsi="Arial" w:cs="Arial"/>
          <w:b w:val="0"/>
          <w:sz w:val="22"/>
        </w:rPr>
        <w:t xml:space="preserve">and </w:t>
      </w:r>
      <w:r w:rsidRPr="00B91F8C">
        <w:rPr>
          <w:rFonts w:ascii="Arial" w:hAnsi="Arial" w:cs="Arial"/>
          <w:b w:val="0"/>
          <w:i/>
          <w:sz w:val="22"/>
        </w:rPr>
        <w:t>F</w:t>
      </w:r>
      <w:r w:rsidRPr="00B91F8C">
        <w:rPr>
          <w:rFonts w:ascii="Arial" w:hAnsi="Arial" w:cs="Arial"/>
          <w:b w:val="0"/>
          <w:i/>
          <w:sz w:val="22"/>
          <w:vertAlign w:val="subscript"/>
        </w:rPr>
        <w:t xml:space="preserve">SNP </w:t>
      </w:r>
      <w:r w:rsidRPr="00B91F8C">
        <w:rPr>
          <w:rFonts w:ascii="Arial" w:hAnsi="Arial" w:cs="Arial"/>
          <w:b w:val="0"/>
          <w:sz w:val="22"/>
        </w:rPr>
        <w:t>as predictors were</w:t>
      </w:r>
      <w:r>
        <w:rPr>
          <w:rFonts w:ascii="Arial" w:hAnsi="Arial" w:cs="Arial"/>
          <w:b w:val="0"/>
          <w:sz w:val="22"/>
        </w:rPr>
        <w:t xml:space="preserve"> </w:t>
      </w:r>
      <w:r w:rsidRPr="00B91F8C">
        <w:rPr>
          <w:rFonts w:ascii="Arial" w:hAnsi="Arial" w:cs="Arial"/>
          <w:b w:val="0"/>
          <w:sz w:val="22"/>
        </w:rPr>
        <w:t>capturing the effects of homozygosity at common versus rare loci as we expected, we</w:t>
      </w:r>
      <w:r>
        <w:rPr>
          <w:rFonts w:ascii="Arial" w:hAnsi="Arial" w:cs="Arial"/>
          <w:b w:val="0"/>
          <w:sz w:val="22"/>
        </w:rPr>
        <w:t xml:space="preserve"> </w:t>
      </w:r>
      <w:r w:rsidRPr="00B91F8C">
        <w:rPr>
          <w:rFonts w:ascii="Arial" w:hAnsi="Arial" w:cs="Arial"/>
          <w:b w:val="0"/>
          <w:sz w:val="22"/>
        </w:rPr>
        <w:t>simulated a fully rece</w:t>
      </w:r>
      <w:r>
        <w:rPr>
          <w:rFonts w:ascii="Arial" w:hAnsi="Arial" w:cs="Arial"/>
          <w:b w:val="0"/>
          <w:sz w:val="22"/>
        </w:rPr>
        <w:t>ssive quantitative trait from 500</w:t>
      </w:r>
      <w:r w:rsidRPr="00B91F8C">
        <w:rPr>
          <w:rFonts w:ascii="Arial" w:hAnsi="Arial" w:cs="Arial"/>
          <w:b w:val="0"/>
          <w:sz w:val="22"/>
        </w:rPr>
        <w:t xml:space="preserve"> causal variants (CVs), randomly</w:t>
      </w:r>
      <w:r>
        <w:rPr>
          <w:rFonts w:ascii="Arial" w:hAnsi="Arial" w:cs="Arial"/>
          <w:b w:val="0"/>
          <w:sz w:val="22"/>
        </w:rPr>
        <w:t xml:space="preserve"> </w:t>
      </w:r>
      <w:r w:rsidRPr="00B91F8C">
        <w:rPr>
          <w:rFonts w:ascii="Arial" w:hAnsi="Arial" w:cs="Arial"/>
          <w:b w:val="0"/>
          <w:sz w:val="22"/>
        </w:rPr>
        <w:t xml:space="preserve">chosen from either a) common genotyped SNPs (MAF &gt; 0.05), or b) </w:t>
      </w:r>
      <w:r>
        <w:rPr>
          <w:rFonts w:ascii="Arial" w:hAnsi="Arial" w:cs="Arial"/>
          <w:b w:val="0"/>
          <w:sz w:val="22"/>
        </w:rPr>
        <w:t>less common</w:t>
      </w:r>
      <w:r w:rsidRPr="00B91F8C">
        <w:rPr>
          <w:rFonts w:ascii="Arial" w:hAnsi="Arial" w:cs="Arial"/>
          <w:b w:val="0"/>
          <w:sz w:val="22"/>
        </w:rPr>
        <w:t xml:space="preserve"> genotyped</w:t>
      </w:r>
      <w:r>
        <w:rPr>
          <w:rFonts w:ascii="Arial" w:hAnsi="Arial" w:cs="Arial"/>
          <w:b w:val="0"/>
          <w:sz w:val="22"/>
        </w:rPr>
        <w:t xml:space="preserve"> SNPs (MAF &lt; 0.05</w:t>
      </w:r>
      <w:r w:rsidRPr="00B91F8C">
        <w:rPr>
          <w:rFonts w:ascii="Arial" w:hAnsi="Arial" w:cs="Arial"/>
          <w:b w:val="0"/>
          <w:sz w:val="22"/>
        </w:rPr>
        <w:t xml:space="preserve">). We then called ROHs from the </w:t>
      </w:r>
      <w:r>
        <w:rPr>
          <w:rFonts w:ascii="Arial" w:hAnsi="Arial" w:cs="Arial"/>
          <w:b w:val="0"/>
          <w:sz w:val="22"/>
        </w:rPr>
        <w:t xml:space="preserve">set of </w:t>
      </w:r>
      <w:r w:rsidRPr="00B91F8C">
        <w:rPr>
          <w:rFonts w:ascii="Arial" w:hAnsi="Arial" w:cs="Arial"/>
          <w:b w:val="0"/>
          <w:sz w:val="22"/>
        </w:rPr>
        <w:t xml:space="preserve">non-CV SNPs </w:t>
      </w:r>
      <w:r>
        <w:rPr>
          <w:rFonts w:ascii="Arial" w:hAnsi="Arial" w:cs="Arial"/>
          <w:b w:val="0"/>
          <w:sz w:val="22"/>
        </w:rPr>
        <w:t xml:space="preserve">(after performing typical QC procedures and LD pruning, as described in the Methods) </w:t>
      </w:r>
      <w:r w:rsidRPr="00B91F8C">
        <w:rPr>
          <w:rFonts w:ascii="Arial" w:hAnsi="Arial" w:cs="Arial"/>
          <w:b w:val="0"/>
          <w:sz w:val="22"/>
        </w:rPr>
        <w:t>and regressed the</w:t>
      </w:r>
      <w:r>
        <w:rPr>
          <w:rFonts w:ascii="Arial" w:hAnsi="Arial" w:cs="Arial"/>
          <w:b w:val="0"/>
          <w:sz w:val="22"/>
        </w:rPr>
        <w:t xml:space="preserve"> </w:t>
      </w:r>
      <w:r w:rsidRPr="00B91F8C">
        <w:rPr>
          <w:rFonts w:ascii="Arial" w:hAnsi="Arial" w:cs="Arial"/>
          <w:b w:val="0"/>
          <w:sz w:val="22"/>
        </w:rPr>
        <w:t xml:space="preserve">simulated phenotype on </w:t>
      </w:r>
      <w:r w:rsidRPr="00B91F8C">
        <w:rPr>
          <w:rFonts w:ascii="Arial" w:hAnsi="Arial" w:cs="Arial"/>
          <w:b w:val="0"/>
          <w:i/>
          <w:sz w:val="22"/>
        </w:rPr>
        <w:t>F</w:t>
      </w:r>
      <w:r w:rsidRPr="00B91F8C">
        <w:rPr>
          <w:rFonts w:ascii="Arial" w:hAnsi="Arial" w:cs="Arial"/>
          <w:b w:val="0"/>
          <w:i/>
          <w:sz w:val="22"/>
          <w:vertAlign w:val="subscript"/>
        </w:rPr>
        <w:t>ROH</w:t>
      </w:r>
      <w:r w:rsidRPr="00B91F8C">
        <w:rPr>
          <w:rFonts w:ascii="Arial" w:hAnsi="Arial" w:cs="Arial"/>
          <w:b w:val="0"/>
          <w:sz w:val="22"/>
        </w:rPr>
        <w:t>,</w:t>
      </w:r>
      <w:r w:rsidRPr="00B91F8C">
        <w:rPr>
          <w:rFonts w:ascii="Arial" w:hAnsi="Arial" w:cs="Arial"/>
          <w:b w:val="0"/>
          <w:i/>
          <w:sz w:val="22"/>
          <w:vertAlign w:val="subscript"/>
        </w:rPr>
        <w:t xml:space="preserve"> </w:t>
      </w:r>
      <w:r w:rsidRPr="00B91F8C">
        <w:rPr>
          <w:rFonts w:ascii="Arial" w:hAnsi="Arial" w:cs="Arial"/>
          <w:b w:val="0"/>
          <w:i/>
          <w:sz w:val="22"/>
        </w:rPr>
        <w:t>F</w:t>
      </w:r>
      <w:r w:rsidRPr="00B91F8C">
        <w:rPr>
          <w:rFonts w:ascii="Arial" w:hAnsi="Arial" w:cs="Arial"/>
          <w:b w:val="0"/>
          <w:i/>
          <w:sz w:val="22"/>
          <w:vertAlign w:val="subscript"/>
        </w:rPr>
        <w:t>SNP</w:t>
      </w:r>
      <w:r w:rsidRPr="00B91F8C">
        <w:rPr>
          <w:rFonts w:ascii="Arial" w:hAnsi="Arial" w:cs="Arial"/>
          <w:b w:val="0"/>
          <w:sz w:val="22"/>
        </w:rPr>
        <w:t xml:space="preserve">, and the typical covariates (age, </w:t>
      </w:r>
      <w:r>
        <w:rPr>
          <w:rFonts w:ascii="Arial" w:hAnsi="Arial" w:cs="Arial"/>
          <w:b w:val="0"/>
          <w:sz w:val="22"/>
        </w:rPr>
        <w:t>age</w:t>
      </w:r>
      <w:r>
        <w:rPr>
          <w:rFonts w:ascii="Arial" w:hAnsi="Arial" w:cs="Arial"/>
          <w:b w:val="0"/>
          <w:sz w:val="22"/>
          <w:vertAlign w:val="superscript"/>
        </w:rPr>
        <w:t>2</w:t>
      </w:r>
      <w:r>
        <w:rPr>
          <w:rFonts w:ascii="Arial" w:hAnsi="Arial" w:cs="Arial"/>
          <w:b w:val="0"/>
          <w:sz w:val="22"/>
        </w:rPr>
        <w:t xml:space="preserve">, </w:t>
      </w:r>
      <w:r w:rsidRPr="00B91F8C">
        <w:rPr>
          <w:rFonts w:ascii="Arial" w:hAnsi="Arial" w:cs="Arial"/>
          <w:b w:val="0"/>
          <w:sz w:val="22"/>
        </w:rPr>
        <w:t>sex, the 1</w:t>
      </w:r>
      <w:r w:rsidRPr="00B91F8C">
        <w:rPr>
          <w:rFonts w:ascii="Arial" w:hAnsi="Arial" w:cs="Arial"/>
          <w:b w:val="0"/>
          <w:sz w:val="22"/>
          <w:vertAlign w:val="superscript"/>
        </w:rPr>
        <w:t>st</w:t>
      </w:r>
      <w:r w:rsidRPr="00B91F8C">
        <w:rPr>
          <w:rFonts w:ascii="Arial" w:hAnsi="Arial" w:cs="Arial"/>
          <w:b w:val="0"/>
          <w:sz w:val="22"/>
        </w:rPr>
        <w:t xml:space="preserve"> 20 PCs,</w:t>
      </w:r>
      <w:r>
        <w:rPr>
          <w:rFonts w:ascii="Arial" w:hAnsi="Arial" w:cs="Arial"/>
          <w:b w:val="0"/>
          <w:sz w:val="22"/>
        </w:rPr>
        <w:t xml:space="preserve"> </w:t>
      </w:r>
      <w:r w:rsidRPr="00B91F8C">
        <w:rPr>
          <w:rFonts w:ascii="Arial" w:hAnsi="Arial" w:cs="Arial"/>
          <w:b w:val="0"/>
          <w:sz w:val="22"/>
        </w:rPr>
        <w:t>SNP missingness, and genotype batch). We repeated this process 10</w:t>
      </w:r>
      <w:r>
        <w:rPr>
          <w:rFonts w:ascii="Arial" w:hAnsi="Arial" w:cs="Arial"/>
          <w:b w:val="0"/>
          <w:sz w:val="22"/>
        </w:rPr>
        <w:t>0</w:t>
      </w:r>
      <w:r w:rsidRPr="00B91F8C">
        <w:rPr>
          <w:rFonts w:ascii="Arial" w:hAnsi="Arial" w:cs="Arial"/>
          <w:b w:val="0"/>
          <w:sz w:val="22"/>
        </w:rPr>
        <w:t xml:space="preserve"> times, and report</w:t>
      </w:r>
      <w:r>
        <w:rPr>
          <w:rFonts w:ascii="Arial" w:hAnsi="Arial" w:cs="Arial"/>
          <w:b w:val="0"/>
          <w:sz w:val="22"/>
        </w:rPr>
        <w:t xml:space="preserve"> </w:t>
      </w:r>
      <w:r w:rsidRPr="00B91F8C">
        <w:rPr>
          <w:rFonts w:ascii="Arial" w:hAnsi="Arial" w:cs="Arial"/>
          <w:b w:val="0"/>
          <w:sz w:val="22"/>
        </w:rPr>
        <w:t>the average β</w:t>
      </w:r>
      <w:r>
        <w:rPr>
          <w:rFonts w:ascii="Arial" w:hAnsi="Arial" w:cs="Arial"/>
          <w:b w:val="0"/>
          <w:sz w:val="22"/>
        </w:rPr>
        <w:t xml:space="preserve"> and </w:t>
      </w:r>
      <w:r w:rsidRPr="00B91F8C">
        <w:rPr>
          <w:rFonts w:ascii="Arial" w:hAnsi="Arial" w:cs="Arial"/>
          <w:b w:val="0"/>
          <w:i/>
          <w:sz w:val="22"/>
        </w:rPr>
        <w:t>p</w:t>
      </w:r>
      <w:r>
        <w:rPr>
          <w:rFonts w:ascii="Arial" w:hAnsi="Arial" w:cs="Arial"/>
          <w:b w:val="0"/>
          <w:i/>
          <w:sz w:val="22"/>
        </w:rPr>
        <w:t>-</w:t>
      </w:r>
      <w:r>
        <w:rPr>
          <w:rFonts w:ascii="Arial" w:hAnsi="Arial" w:cs="Arial"/>
          <w:b w:val="0"/>
          <w:sz w:val="22"/>
        </w:rPr>
        <w:t>value</w:t>
      </w:r>
      <w:r w:rsidRPr="00B91F8C">
        <w:rPr>
          <w:rFonts w:ascii="Arial" w:hAnsi="Arial" w:cs="Arial"/>
          <w:b w:val="0"/>
          <w:sz w:val="22"/>
        </w:rPr>
        <w:t xml:space="preserve"> for both </w:t>
      </w:r>
      <w:r w:rsidRPr="00B91F8C">
        <w:rPr>
          <w:rFonts w:ascii="Arial" w:hAnsi="Arial" w:cs="Arial"/>
          <w:b w:val="0"/>
          <w:i/>
          <w:sz w:val="22"/>
        </w:rPr>
        <w:t>F</w:t>
      </w:r>
      <w:r w:rsidRPr="00B91F8C">
        <w:rPr>
          <w:rFonts w:ascii="Arial" w:hAnsi="Arial" w:cs="Arial"/>
          <w:b w:val="0"/>
          <w:i/>
          <w:sz w:val="22"/>
          <w:vertAlign w:val="subscript"/>
        </w:rPr>
        <w:t>ROH</w:t>
      </w:r>
      <w:r w:rsidRPr="00B91F8C">
        <w:rPr>
          <w:rFonts w:ascii="Arial" w:hAnsi="Arial" w:cs="Arial"/>
          <w:b w:val="0"/>
          <w:sz w:val="22"/>
        </w:rPr>
        <w:t xml:space="preserve"> and</w:t>
      </w:r>
      <w:r w:rsidRPr="00B91F8C">
        <w:rPr>
          <w:rFonts w:ascii="Arial" w:hAnsi="Arial" w:cs="Arial"/>
          <w:b w:val="0"/>
          <w:i/>
          <w:sz w:val="22"/>
          <w:vertAlign w:val="subscript"/>
        </w:rPr>
        <w:t xml:space="preserve"> </w:t>
      </w:r>
      <w:r w:rsidRPr="00B91F8C">
        <w:rPr>
          <w:rFonts w:ascii="Arial" w:hAnsi="Arial" w:cs="Arial"/>
          <w:b w:val="0"/>
          <w:i/>
          <w:sz w:val="22"/>
        </w:rPr>
        <w:t>F</w:t>
      </w:r>
      <w:r w:rsidRPr="00B91F8C">
        <w:rPr>
          <w:rFonts w:ascii="Arial" w:hAnsi="Arial" w:cs="Arial"/>
          <w:b w:val="0"/>
          <w:i/>
          <w:sz w:val="22"/>
          <w:vertAlign w:val="subscript"/>
        </w:rPr>
        <w:t>SNP</w:t>
      </w:r>
      <w:r w:rsidRPr="00B91F8C">
        <w:rPr>
          <w:rFonts w:ascii="Arial" w:hAnsi="Arial" w:cs="Arial"/>
          <w:b w:val="0"/>
          <w:sz w:val="22"/>
        </w:rPr>
        <w:t xml:space="preserve"> in each model</w:t>
      </w:r>
      <w:r w:rsidR="00033D7B">
        <w:rPr>
          <w:rFonts w:ascii="Arial" w:hAnsi="Arial" w:cs="Arial"/>
          <w:b w:val="0"/>
          <w:sz w:val="22"/>
        </w:rPr>
        <w:t xml:space="preserve"> in Table S4</w:t>
      </w:r>
      <w:bookmarkStart w:id="0" w:name="_GoBack"/>
      <w:bookmarkEnd w:id="0"/>
      <w:r w:rsidRPr="00B91F8C">
        <w:rPr>
          <w:rFonts w:ascii="Arial" w:hAnsi="Arial" w:cs="Arial"/>
          <w:b w:val="0"/>
          <w:sz w:val="22"/>
        </w:rPr>
        <w:t>. Our results</w:t>
      </w:r>
      <w:r>
        <w:rPr>
          <w:rFonts w:ascii="Arial" w:hAnsi="Arial" w:cs="Arial"/>
          <w:b w:val="0"/>
          <w:sz w:val="22"/>
        </w:rPr>
        <w:t xml:space="preserve"> </w:t>
      </w:r>
      <w:r w:rsidRPr="00B91F8C">
        <w:rPr>
          <w:rFonts w:ascii="Arial" w:hAnsi="Arial" w:cs="Arial"/>
          <w:b w:val="0"/>
          <w:sz w:val="22"/>
        </w:rPr>
        <w:t xml:space="preserve">showed that for </w:t>
      </w:r>
      <w:r>
        <w:rPr>
          <w:rFonts w:ascii="Arial" w:hAnsi="Arial" w:cs="Arial"/>
          <w:b w:val="0"/>
          <w:sz w:val="22"/>
        </w:rPr>
        <w:t>the simulated</w:t>
      </w:r>
      <w:r w:rsidRPr="00B91F8C">
        <w:rPr>
          <w:rFonts w:ascii="Arial" w:hAnsi="Arial" w:cs="Arial"/>
          <w:b w:val="0"/>
          <w:sz w:val="22"/>
        </w:rPr>
        <w:t xml:space="preserve"> trait caused only by homozygosity at common variants, </w:t>
      </w:r>
      <w:r w:rsidRPr="00B91F8C">
        <w:rPr>
          <w:rFonts w:ascii="Arial" w:hAnsi="Arial" w:cs="Arial"/>
          <w:b w:val="0"/>
          <w:i/>
          <w:sz w:val="22"/>
        </w:rPr>
        <w:t>F</w:t>
      </w:r>
      <w:r w:rsidRPr="00B91F8C">
        <w:rPr>
          <w:rFonts w:ascii="Arial" w:hAnsi="Arial" w:cs="Arial"/>
          <w:b w:val="0"/>
          <w:i/>
          <w:sz w:val="22"/>
          <w:vertAlign w:val="subscript"/>
        </w:rPr>
        <w:t xml:space="preserve">SNP </w:t>
      </w:r>
      <w:r w:rsidRPr="00B91F8C">
        <w:rPr>
          <w:rFonts w:ascii="Arial" w:hAnsi="Arial" w:cs="Arial"/>
          <w:b w:val="0"/>
          <w:sz w:val="22"/>
        </w:rPr>
        <w:t>was more</w:t>
      </w:r>
      <w:r>
        <w:rPr>
          <w:rFonts w:ascii="Arial" w:hAnsi="Arial" w:cs="Arial"/>
          <w:b w:val="0"/>
          <w:sz w:val="22"/>
        </w:rPr>
        <w:t xml:space="preserve"> </w:t>
      </w:r>
      <w:r w:rsidRPr="00B91F8C">
        <w:rPr>
          <w:rFonts w:ascii="Arial" w:hAnsi="Arial" w:cs="Arial"/>
          <w:b w:val="0"/>
          <w:sz w:val="22"/>
        </w:rPr>
        <w:t xml:space="preserve">significantly associated with the trait than </w:t>
      </w:r>
      <w:r w:rsidRPr="00B91F8C">
        <w:rPr>
          <w:rFonts w:ascii="Arial" w:hAnsi="Arial" w:cs="Arial"/>
          <w:b w:val="0"/>
          <w:i/>
          <w:sz w:val="22"/>
        </w:rPr>
        <w:t>F</w:t>
      </w:r>
      <w:r w:rsidRPr="00B91F8C">
        <w:rPr>
          <w:rFonts w:ascii="Arial" w:hAnsi="Arial" w:cs="Arial"/>
          <w:b w:val="0"/>
          <w:i/>
          <w:sz w:val="22"/>
          <w:vertAlign w:val="subscript"/>
        </w:rPr>
        <w:t>ROH</w:t>
      </w:r>
      <w:r w:rsidRPr="00B91F8C">
        <w:rPr>
          <w:rFonts w:ascii="Arial" w:hAnsi="Arial" w:cs="Arial"/>
          <w:b w:val="0"/>
          <w:sz w:val="22"/>
        </w:rPr>
        <w:t>, though both predictors were significant in</w:t>
      </w:r>
      <w:r>
        <w:rPr>
          <w:rFonts w:ascii="Arial" w:hAnsi="Arial" w:cs="Arial"/>
          <w:b w:val="0"/>
          <w:sz w:val="22"/>
        </w:rPr>
        <w:t xml:space="preserve"> </w:t>
      </w:r>
      <w:r w:rsidRPr="00B91F8C">
        <w:rPr>
          <w:rFonts w:ascii="Arial" w:hAnsi="Arial" w:cs="Arial"/>
          <w:b w:val="0"/>
          <w:sz w:val="22"/>
        </w:rPr>
        <w:t xml:space="preserve">the regression model. For a trait determined by homozygosity at rare variants, </w:t>
      </w:r>
      <w:r w:rsidRPr="00B91F8C">
        <w:rPr>
          <w:rFonts w:ascii="Arial" w:hAnsi="Arial" w:cs="Arial"/>
          <w:b w:val="0"/>
          <w:i/>
          <w:sz w:val="22"/>
        </w:rPr>
        <w:t>F</w:t>
      </w:r>
      <w:r w:rsidRPr="00B91F8C">
        <w:rPr>
          <w:rFonts w:ascii="Arial" w:hAnsi="Arial" w:cs="Arial"/>
          <w:b w:val="0"/>
          <w:i/>
          <w:sz w:val="22"/>
          <w:vertAlign w:val="subscript"/>
        </w:rPr>
        <w:t>ROH</w:t>
      </w:r>
      <w:r w:rsidRPr="00B91F8C">
        <w:rPr>
          <w:rFonts w:ascii="Arial" w:hAnsi="Arial" w:cs="Arial"/>
          <w:b w:val="0"/>
          <w:sz w:val="22"/>
        </w:rPr>
        <w:t xml:space="preserve"> was</w:t>
      </w:r>
      <w:r>
        <w:rPr>
          <w:rFonts w:ascii="Arial" w:hAnsi="Arial" w:cs="Arial"/>
          <w:b w:val="0"/>
          <w:sz w:val="22"/>
        </w:rPr>
        <w:t xml:space="preserve"> </w:t>
      </w:r>
      <w:r w:rsidRPr="00B91F8C">
        <w:rPr>
          <w:rFonts w:ascii="Arial" w:hAnsi="Arial" w:cs="Arial"/>
          <w:b w:val="0"/>
          <w:sz w:val="22"/>
        </w:rPr>
        <w:t xml:space="preserve">a much more significant predictor of trait variance than </w:t>
      </w:r>
      <w:r w:rsidRPr="00B91F8C">
        <w:rPr>
          <w:rFonts w:ascii="Arial" w:hAnsi="Arial" w:cs="Arial"/>
          <w:b w:val="0"/>
          <w:i/>
          <w:sz w:val="22"/>
        </w:rPr>
        <w:t>F</w:t>
      </w:r>
      <w:r w:rsidRPr="00B91F8C">
        <w:rPr>
          <w:rFonts w:ascii="Arial" w:hAnsi="Arial" w:cs="Arial"/>
          <w:b w:val="0"/>
          <w:i/>
          <w:sz w:val="22"/>
          <w:vertAlign w:val="subscript"/>
        </w:rPr>
        <w:t>SNP</w:t>
      </w:r>
      <w:r>
        <w:rPr>
          <w:rFonts w:ascii="Arial" w:hAnsi="Arial" w:cs="Arial"/>
          <w:b w:val="0"/>
          <w:sz w:val="22"/>
        </w:rPr>
        <w:t>.</w:t>
      </w:r>
      <w:r>
        <w:rPr>
          <w:rFonts w:ascii="Arial" w:hAnsi="Arial" w:cs="Arial"/>
          <w:b w:val="0"/>
          <w:i/>
          <w:sz w:val="22"/>
          <w:vertAlign w:val="subscript"/>
        </w:rPr>
        <w:t xml:space="preserve"> </w:t>
      </w:r>
      <w:r w:rsidRPr="00B91F8C">
        <w:rPr>
          <w:rFonts w:ascii="Arial" w:hAnsi="Arial" w:cs="Arial"/>
          <w:b w:val="0"/>
          <w:sz w:val="22"/>
        </w:rPr>
        <w:t>This confirmed our</w:t>
      </w:r>
      <w:r>
        <w:rPr>
          <w:rFonts w:ascii="Arial" w:hAnsi="Arial" w:cs="Arial"/>
          <w:b w:val="0"/>
          <w:sz w:val="22"/>
        </w:rPr>
        <w:t xml:space="preserve"> </w:t>
      </w:r>
      <w:r w:rsidRPr="00B91F8C">
        <w:rPr>
          <w:rFonts w:ascii="Arial" w:hAnsi="Arial" w:cs="Arial"/>
          <w:b w:val="0"/>
          <w:sz w:val="22"/>
        </w:rPr>
        <w:t xml:space="preserve">expectations that, in a model controlling for </w:t>
      </w:r>
      <w:r w:rsidRPr="00B91F8C">
        <w:rPr>
          <w:rFonts w:ascii="Arial" w:hAnsi="Arial" w:cs="Arial"/>
          <w:b w:val="0"/>
          <w:i/>
          <w:sz w:val="22"/>
        </w:rPr>
        <w:t>F</w:t>
      </w:r>
      <w:r w:rsidRPr="00B91F8C">
        <w:rPr>
          <w:rFonts w:ascii="Arial" w:hAnsi="Arial" w:cs="Arial"/>
          <w:b w:val="0"/>
          <w:i/>
          <w:sz w:val="22"/>
          <w:vertAlign w:val="subscript"/>
        </w:rPr>
        <w:t xml:space="preserve">SNP, </w:t>
      </w:r>
      <w:r w:rsidRPr="00B91F8C">
        <w:rPr>
          <w:rFonts w:ascii="Arial" w:hAnsi="Arial" w:cs="Arial"/>
          <w:b w:val="0"/>
          <w:sz w:val="22"/>
        </w:rPr>
        <w:t>if a trait is caused largely by</w:t>
      </w:r>
      <w:r>
        <w:rPr>
          <w:rFonts w:ascii="Arial" w:hAnsi="Arial" w:cs="Arial"/>
          <w:b w:val="0"/>
          <w:sz w:val="22"/>
        </w:rPr>
        <w:t xml:space="preserve"> </w:t>
      </w:r>
      <w:r w:rsidRPr="00B91F8C">
        <w:rPr>
          <w:rFonts w:ascii="Arial" w:hAnsi="Arial" w:cs="Arial"/>
          <w:b w:val="0"/>
          <w:sz w:val="22"/>
        </w:rPr>
        <w:t>homozygosity at rare, recessive variants (as expected under a model of purifying</w:t>
      </w:r>
      <w:r>
        <w:rPr>
          <w:rFonts w:ascii="Arial" w:hAnsi="Arial" w:cs="Arial"/>
          <w:b w:val="0"/>
          <w:sz w:val="22"/>
        </w:rPr>
        <w:t xml:space="preserve"> </w:t>
      </w:r>
      <w:r w:rsidRPr="00B91F8C">
        <w:rPr>
          <w:rFonts w:ascii="Arial" w:hAnsi="Arial" w:cs="Arial"/>
          <w:b w:val="0"/>
          <w:sz w:val="22"/>
        </w:rPr>
        <w:t xml:space="preserve">selection), </w:t>
      </w:r>
      <w:r w:rsidRPr="00B91F8C">
        <w:rPr>
          <w:rFonts w:ascii="Arial" w:hAnsi="Arial" w:cs="Arial"/>
          <w:b w:val="0"/>
          <w:i/>
          <w:sz w:val="22"/>
        </w:rPr>
        <w:t>F</w:t>
      </w:r>
      <w:r w:rsidRPr="00B91F8C">
        <w:rPr>
          <w:rFonts w:ascii="Arial" w:hAnsi="Arial" w:cs="Arial"/>
          <w:b w:val="0"/>
          <w:i/>
          <w:sz w:val="22"/>
          <w:vertAlign w:val="subscript"/>
        </w:rPr>
        <w:t>ROH</w:t>
      </w:r>
      <w:r w:rsidRPr="00B91F8C">
        <w:rPr>
          <w:rFonts w:ascii="Arial" w:hAnsi="Arial" w:cs="Arial"/>
          <w:b w:val="0"/>
          <w:sz w:val="22"/>
        </w:rPr>
        <w:t xml:space="preserve"> will capture the trait variance caused</w:t>
      </w:r>
      <w:r>
        <w:rPr>
          <w:rFonts w:ascii="Arial" w:hAnsi="Arial" w:cs="Arial"/>
          <w:b w:val="0"/>
          <w:sz w:val="22"/>
        </w:rPr>
        <w:t xml:space="preserve"> by </w:t>
      </w:r>
      <w:r w:rsidRPr="00B91F8C">
        <w:rPr>
          <w:rFonts w:ascii="Arial" w:hAnsi="Arial" w:cs="Arial"/>
          <w:b w:val="0"/>
          <w:sz w:val="22"/>
        </w:rPr>
        <w:t>homozygosity at these rare CVs</w:t>
      </w:r>
      <w:r>
        <w:rPr>
          <w:rFonts w:ascii="Arial" w:hAnsi="Arial" w:cs="Arial"/>
          <w:b w:val="0"/>
          <w:sz w:val="22"/>
        </w:rPr>
        <w:t xml:space="preserve"> </w:t>
      </w:r>
      <w:r w:rsidRPr="00B91F8C">
        <w:rPr>
          <w:rFonts w:ascii="Arial" w:hAnsi="Arial" w:cs="Arial"/>
          <w:b w:val="0"/>
          <w:sz w:val="22"/>
        </w:rPr>
        <w:t xml:space="preserve">that </w:t>
      </w:r>
      <w:r w:rsidRPr="00B91F8C">
        <w:rPr>
          <w:rFonts w:ascii="Arial" w:hAnsi="Arial" w:cs="Arial"/>
          <w:b w:val="0"/>
          <w:i/>
          <w:sz w:val="22"/>
        </w:rPr>
        <w:t>F</w:t>
      </w:r>
      <w:r w:rsidRPr="00B91F8C">
        <w:rPr>
          <w:rFonts w:ascii="Arial" w:hAnsi="Arial" w:cs="Arial"/>
          <w:b w:val="0"/>
          <w:i/>
          <w:sz w:val="22"/>
          <w:vertAlign w:val="subscript"/>
        </w:rPr>
        <w:t>SNP</w:t>
      </w:r>
      <w:r w:rsidRPr="00B91F8C">
        <w:rPr>
          <w:rFonts w:ascii="Arial" w:hAnsi="Arial" w:cs="Arial"/>
          <w:b w:val="0"/>
          <w:sz w:val="22"/>
        </w:rPr>
        <w:t xml:space="preserve"> is unable to measure.</w:t>
      </w:r>
    </w:p>
    <w:p w:rsidR="00B55A71" w:rsidRDefault="00B55A71" w:rsidP="00B55A71"/>
    <w:p w:rsidR="00B55A71" w:rsidRPr="00175A4E" w:rsidRDefault="00B55A71" w:rsidP="00B55A71">
      <w:pPr>
        <w:rPr>
          <w:sz w:val="22"/>
          <w:szCs w:val="22"/>
        </w:rPr>
      </w:pPr>
    </w:p>
    <w:p w:rsidR="00B55A71" w:rsidRDefault="00B55A71" w:rsidP="00B55A71">
      <w:pPr>
        <w:rPr>
          <w:rFonts w:ascii="Arial" w:hAnsi="Arial" w:cs="Arial"/>
          <w:b/>
          <w:sz w:val="22"/>
          <w:szCs w:val="22"/>
        </w:rPr>
      </w:pPr>
    </w:p>
    <w:p w:rsidR="00B55A71" w:rsidRDefault="00B55A71" w:rsidP="00B55A71">
      <w:pPr>
        <w:rPr>
          <w:rFonts w:ascii="Arial" w:hAnsi="Arial" w:cs="Arial"/>
          <w:b/>
          <w:sz w:val="22"/>
          <w:szCs w:val="22"/>
        </w:rPr>
      </w:pPr>
    </w:p>
    <w:p w:rsidR="00B55A71" w:rsidRDefault="00B55A71" w:rsidP="00B55A71">
      <w:pPr>
        <w:rPr>
          <w:rFonts w:ascii="Arial" w:hAnsi="Arial" w:cs="Arial"/>
          <w:b/>
          <w:sz w:val="22"/>
          <w:szCs w:val="22"/>
        </w:rPr>
      </w:pPr>
    </w:p>
    <w:p w:rsidR="00B55A71" w:rsidRPr="00D1674A" w:rsidRDefault="00B55A71" w:rsidP="00B55A71">
      <w:pPr>
        <w:widowControl w:val="0"/>
        <w:autoSpaceDE w:val="0"/>
        <w:autoSpaceDN w:val="0"/>
        <w:adjustRightInd w:val="0"/>
        <w:ind w:left="640" w:hanging="640"/>
        <w:rPr>
          <w:rFonts w:ascii="Arial" w:hAnsi="Arial" w:cs="Arial"/>
          <w:noProof/>
          <w:sz w:val="22"/>
        </w:rPr>
      </w:pPr>
      <w:r>
        <w:rPr>
          <w:rFonts w:ascii="Arial" w:hAnsi="Arial"/>
          <w:sz w:val="22"/>
          <w:szCs w:val="20"/>
        </w:rPr>
        <w:fldChar w:fldCharType="begin" w:fldLock="1"/>
      </w:r>
      <w:r>
        <w:rPr>
          <w:rFonts w:ascii="Arial" w:hAnsi="Arial"/>
          <w:sz w:val="22"/>
          <w:szCs w:val="20"/>
        </w:rPr>
        <w:instrText xml:space="preserve">ADDIN Mendeley Bibliography CSL_BIBLIOGRAPHY </w:instrText>
      </w:r>
      <w:r>
        <w:rPr>
          <w:rFonts w:ascii="Arial" w:hAnsi="Arial"/>
          <w:sz w:val="22"/>
          <w:szCs w:val="20"/>
        </w:rPr>
        <w:fldChar w:fldCharType="separate"/>
      </w:r>
      <w:r w:rsidRPr="00D1674A">
        <w:rPr>
          <w:rFonts w:ascii="Arial" w:hAnsi="Arial" w:cs="Arial"/>
          <w:noProof/>
          <w:sz w:val="22"/>
        </w:rPr>
        <w:t>1.</w:t>
      </w:r>
      <w:r w:rsidRPr="00D1674A">
        <w:rPr>
          <w:rFonts w:ascii="Arial" w:hAnsi="Arial" w:cs="Arial"/>
          <w:noProof/>
          <w:sz w:val="22"/>
        </w:rPr>
        <w:tab/>
        <w:t xml:space="preserve">Okbay, A. </w:t>
      </w:r>
      <w:r w:rsidRPr="00D1674A">
        <w:rPr>
          <w:rFonts w:ascii="Arial" w:hAnsi="Arial" w:cs="Arial"/>
          <w:i/>
          <w:iCs/>
          <w:noProof/>
          <w:sz w:val="22"/>
        </w:rPr>
        <w:t>et al.</w:t>
      </w:r>
      <w:r w:rsidRPr="00D1674A">
        <w:rPr>
          <w:rFonts w:ascii="Arial" w:hAnsi="Arial" w:cs="Arial"/>
          <w:noProof/>
          <w:sz w:val="22"/>
        </w:rPr>
        <w:t xml:space="preserve"> Genome-wide association study identifies 74 loci associated with educational attainment. </w:t>
      </w:r>
      <w:r w:rsidRPr="00D1674A">
        <w:rPr>
          <w:rFonts w:ascii="Arial" w:hAnsi="Arial" w:cs="Arial"/>
          <w:i/>
          <w:iCs/>
          <w:noProof/>
          <w:sz w:val="22"/>
        </w:rPr>
        <w:t>Nature</w:t>
      </w:r>
      <w:r w:rsidRPr="00D1674A">
        <w:rPr>
          <w:rFonts w:ascii="Arial" w:hAnsi="Arial" w:cs="Arial"/>
          <w:noProof/>
          <w:sz w:val="22"/>
        </w:rPr>
        <w:t xml:space="preserve"> </w:t>
      </w:r>
      <w:r w:rsidRPr="00D1674A">
        <w:rPr>
          <w:rFonts w:ascii="Arial" w:hAnsi="Arial" w:cs="Arial"/>
          <w:b/>
          <w:bCs/>
          <w:noProof/>
          <w:sz w:val="22"/>
        </w:rPr>
        <w:t>533,</w:t>
      </w:r>
      <w:r w:rsidRPr="00D1674A">
        <w:rPr>
          <w:rFonts w:ascii="Arial" w:hAnsi="Arial" w:cs="Arial"/>
          <w:noProof/>
          <w:sz w:val="22"/>
        </w:rPr>
        <w:t xml:space="preserve"> 539–542 (2016).</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2.</w:t>
      </w:r>
      <w:r w:rsidRPr="00D1674A">
        <w:rPr>
          <w:rFonts w:ascii="Arial" w:hAnsi="Arial" w:cs="Arial"/>
          <w:noProof/>
          <w:sz w:val="22"/>
        </w:rPr>
        <w:tab/>
        <w:t xml:space="preserve">Willems, S. M. </w:t>
      </w:r>
      <w:r w:rsidRPr="00D1674A">
        <w:rPr>
          <w:rFonts w:ascii="Arial" w:hAnsi="Arial" w:cs="Arial"/>
          <w:i/>
          <w:iCs/>
          <w:noProof/>
          <w:sz w:val="22"/>
        </w:rPr>
        <w:t>et al.</w:t>
      </w:r>
      <w:r w:rsidRPr="00D1674A">
        <w:rPr>
          <w:rFonts w:ascii="Arial" w:hAnsi="Arial" w:cs="Arial"/>
          <w:noProof/>
          <w:sz w:val="22"/>
        </w:rPr>
        <w:t xml:space="preserve"> Large-scale GWAS identifies multiple loci for hand grip strength providing biological insights into muscular fitness. </w:t>
      </w:r>
      <w:r w:rsidRPr="00D1674A">
        <w:rPr>
          <w:rFonts w:ascii="Arial" w:hAnsi="Arial" w:cs="Arial"/>
          <w:i/>
          <w:iCs/>
          <w:noProof/>
          <w:sz w:val="22"/>
        </w:rPr>
        <w:t>Nat. Commun.</w:t>
      </w:r>
      <w:r w:rsidRPr="00D1674A">
        <w:rPr>
          <w:rFonts w:ascii="Arial" w:hAnsi="Arial" w:cs="Arial"/>
          <w:noProof/>
          <w:sz w:val="22"/>
        </w:rPr>
        <w:t xml:space="preserve"> </w:t>
      </w:r>
      <w:r w:rsidRPr="00D1674A">
        <w:rPr>
          <w:rFonts w:ascii="Arial" w:hAnsi="Arial" w:cs="Arial"/>
          <w:b/>
          <w:bCs/>
          <w:noProof/>
          <w:sz w:val="22"/>
        </w:rPr>
        <w:t>8,</w:t>
      </w:r>
      <w:r w:rsidRPr="00D1674A">
        <w:rPr>
          <w:rFonts w:ascii="Arial" w:hAnsi="Arial" w:cs="Arial"/>
          <w:noProof/>
          <w:sz w:val="22"/>
        </w:rPr>
        <w:t xml:space="preserve"> </w:t>
      </w:r>
      <w:r w:rsidRPr="00D1674A">
        <w:rPr>
          <w:rFonts w:ascii="Arial" w:hAnsi="Arial" w:cs="Arial"/>
          <w:noProof/>
          <w:sz w:val="22"/>
        </w:rPr>
        <w:lastRenderedPageBreak/>
        <w:t>16015 (2017).</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3.</w:t>
      </w:r>
      <w:r w:rsidRPr="00D1674A">
        <w:rPr>
          <w:rFonts w:ascii="Arial" w:hAnsi="Arial" w:cs="Arial"/>
          <w:noProof/>
          <w:sz w:val="22"/>
        </w:rPr>
        <w:tab/>
        <w:t xml:space="preserve">Yengo, L. </w:t>
      </w:r>
      <w:r w:rsidRPr="00D1674A">
        <w:rPr>
          <w:rFonts w:ascii="Arial" w:hAnsi="Arial" w:cs="Arial"/>
          <w:i/>
          <w:iCs/>
          <w:noProof/>
          <w:sz w:val="22"/>
        </w:rPr>
        <w:t>et al.</w:t>
      </w:r>
      <w:r w:rsidRPr="00D1674A">
        <w:rPr>
          <w:rFonts w:ascii="Arial" w:hAnsi="Arial" w:cs="Arial"/>
          <w:noProof/>
          <w:sz w:val="22"/>
        </w:rPr>
        <w:t xml:space="preserve"> Detection and quantification of inbreeding depression for complex traits from SNP data. </w:t>
      </w:r>
      <w:r w:rsidRPr="00D1674A">
        <w:rPr>
          <w:rFonts w:ascii="Arial" w:hAnsi="Arial" w:cs="Arial"/>
          <w:i/>
          <w:iCs/>
          <w:noProof/>
          <w:sz w:val="22"/>
        </w:rPr>
        <w:t>Proc. Natl. Acad. Sci.</w:t>
      </w:r>
      <w:r w:rsidRPr="00D1674A">
        <w:rPr>
          <w:rFonts w:ascii="Arial" w:hAnsi="Arial" w:cs="Arial"/>
          <w:noProof/>
          <w:sz w:val="22"/>
        </w:rPr>
        <w:t xml:space="preserve"> </w:t>
      </w:r>
      <w:r w:rsidRPr="00D1674A">
        <w:rPr>
          <w:rFonts w:ascii="Arial" w:hAnsi="Arial" w:cs="Arial"/>
          <w:b/>
          <w:bCs/>
          <w:noProof/>
          <w:sz w:val="22"/>
        </w:rPr>
        <w:t>114,</w:t>
      </w:r>
      <w:r w:rsidRPr="00D1674A">
        <w:rPr>
          <w:rFonts w:ascii="Arial" w:hAnsi="Arial" w:cs="Arial"/>
          <w:noProof/>
          <w:sz w:val="22"/>
        </w:rPr>
        <w:t xml:space="preserve"> 8602 LP-8607 (2017).</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4.</w:t>
      </w:r>
      <w:r w:rsidRPr="00D1674A">
        <w:rPr>
          <w:rFonts w:ascii="Arial" w:hAnsi="Arial" w:cs="Arial"/>
          <w:noProof/>
          <w:sz w:val="22"/>
        </w:rPr>
        <w:tab/>
        <w:t xml:space="preserve">Keller, M. C., Visscher, P. M. &amp; Goddard, M. E. Quantification of inbreeding due to distant ancestors and its detection using dense single nucleotide polymorphism data. </w:t>
      </w:r>
      <w:r w:rsidRPr="00D1674A">
        <w:rPr>
          <w:rFonts w:ascii="Arial" w:hAnsi="Arial" w:cs="Arial"/>
          <w:i/>
          <w:iCs/>
          <w:noProof/>
          <w:sz w:val="22"/>
        </w:rPr>
        <w:t>Genetics</w:t>
      </w:r>
      <w:r w:rsidRPr="00D1674A">
        <w:rPr>
          <w:rFonts w:ascii="Arial" w:hAnsi="Arial" w:cs="Arial"/>
          <w:noProof/>
          <w:sz w:val="22"/>
        </w:rPr>
        <w:t xml:space="preserve"> </w:t>
      </w:r>
      <w:r w:rsidRPr="00D1674A">
        <w:rPr>
          <w:rFonts w:ascii="Arial" w:hAnsi="Arial" w:cs="Arial"/>
          <w:b/>
          <w:bCs/>
          <w:noProof/>
          <w:sz w:val="22"/>
        </w:rPr>
        <w:t>189,</w:t>
      </w:r>
      <w:r w:rsidRPr="00D1674A">
        <w:rPr>
          <w:rFonts w:ascii="Arial" w:hAnsi="Arial" w:cs="Arial"/>
          <w:noProof/>
          <w:sz w:val="22"/>
        </w:rPr>
        <w:t xml:space="preserve"> 237–249 (2011).</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5.</w:t>
      </w:r>
      <w:r w:rsidRPr="00D1674A">
        <w:rPr>
          <w:rFonts w:ascii="Arial" w:hAnsi="Arial" w:cs="Arial"/>
          <w:noProof/>
          <w:sz w:val="22"/>
        </w:rPr>
        <w:tab/>
        <w:t xml:space="preserve">Gazal, S. </w:t>
      </w:r>
      <w:r w:rsidRPr="00D1674A">
        <w:rPr>
          <w:rFonts w:ascii="Arial" w:hAnsi="Arial" w:cs="Arial"/>
          <w:i/>
          <w:iCs/>
          <w:noProof/>
          <w:sz w:val="22"/>
        </w:rPr>
        <w:t>et al.</w:t>
      </w:r>
      <w:r w:rsidRPr="00D1674A">
        <w:rPr>
          <w:rFonts w:ascii="Arial" w:hAnsi="Arial" w:cs="Arial"/>
          <w:noProof/>
          <w:sz w:val="22"/>
        </w:rPr>
        <w:t xml:space="preserve"> Inbreeding coefficient estimation with dense SNP data: Comparison of strategies and application to HapMap III. </w:t>
      </w:r>
      <w:r w:rsidRPr="00D1674A">
        <w:rPr>
          <w:rFonts w:ascii="Arial" w:hAnsi="Arial" w:cs="Arial"/>
          <w:i/>
          <w:iCs/>
          <w:noProof/>
          <w:sz w:val="22"/>
        </w:rPr>
        <w:t>Hum. Hered.</w:t>
      </w:r>
      <w:r w:rsidRPr="00D1674A">
        <w:rPr>
          <w:rFonts w:ascii="Arial" w:hAnsi="Arial" w:cs="Arial"/>
          <w:noProof/>
          <w:sz w:val="22"/>
        </w:rPr>
        <w:t xml:space="preserve"> </w:t>
      </w:r>
      <w:r w:rsidRPr="00D1674A">
        <w:rPr>
          <w:rFonts w:ascii="Arial" w:hAnsi="Arial" w:cs="Arial"/>
          <w:b/>
          <w:bCs/>
          <w:noProof/>
          <w:sz w:val="22"/>
        </w:rPr>
        <w:t>77,</w:t>
      </w:r>
      <w:r w:rsidRPr="00D1674A">
        <w:rPr>
          <w:rFonts w:ascii="Arial" w:hAnsi="Arial" w:cs="Arial"/>
          <w:noProof/>
          <w:sz w:val="22"/>
        </w:rPr>
        <w:t xml:space="preserve"> 49–62 (2014).</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6.</w:t>
      </w:r>
      <w:r w:rsidRPr="00D1674A">
        <w:rPr>
          <w:rFonts w:ascii="Arial" w:hAnsi="Arial" w:cs="Arial"/>
          <w:noProof/>
          <w:sz w:val="22"/>
        </w:rPr>
        <w:tab/>
        <w:t xml:space="preserve">Howrigan, D. P., Simonson, M. A. &amp; Keller, M. C. Detecting autozygosity through runs of homozygosity: A comparison of three autozygosity detection algorithms. </w:t>
      </w:r>
      <w:r w:rsidRPr="00D1674A">
        <w:rPr>
          <w:rFonts w:ascii="Arial" w:hAnsi="Arial" w:cs="Arial"/>
          <w:i/>
          <w:iCs/>
          <w:noProof/>
          <w:sz w:val="22"/>
        </w:rPr>
        <w:t>BMC Genomics</w:t>
      </w:r>
      <w:r w:rsidRPr="00D1674A">
        <w:rPr>
          <w:rFonts w:ascii="Arial" w:hAnsi="Arial" w:cs="Arial"/>
          <w:noProof/>
          <w:sz w:val="22"/>
        </w:rPr>
        <w:t xml:space="preserve"> </w:t>
      </w:r>
      <w:r w:rsidRPr="00D1674A">
        <w:rPr>
          <w:rFonts w:ascii="Arial" w:hAnsi="Arial" w:cs="Arial"/>
          <w:b/>
          <w:bCs/>
          <w:noProof/>
          <w:sz w:val="22"/>
        </w:rPr>
        <w:t>12,</w:t>
      </w:r>
      <w:r w:rsidRPr="00D1674A">
        <w:rPr>
          <w:rFonts w:ascii="Arial" w:hAnsi="Arial" w:cs="Arial"/>
          <w:noProof/>
          <w:sz w:val="22"/>
        </w:rPr>
        <w:t xml:space="preserve"> 460 (2011).</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7.</w:t>
      </w:r>
      <w:r w:rsidRPr="00D1674A">
        <w:rPr>
          <w:rFonts w:ascii="Arial" w:hAnsi="Arial" w:cs="Arial"/>
          <w:noProof/>
          <w:sz w:val="22"/>
        </w:rPr>
        <w:tab/>
        <w:t xml:space="preserve">Purcell, S. </w:t>
      </w:r>
      <w:r w:rsidRPr="00D1674A">
        <w:rPr>
          <w:rFonts w:ascii="Arial" w:hAnsi="Arial" w:cs="Arial"/>
          <w:i/>
          <w:iCs/>
          <w:noProof/>
          <w:sz w:val="22"/>
        </w:rPr>
        <w:t>et al.</w:t>
      </w:r>
      <w:r w:rsidRPr="00D1674A">
        <w:rPr>
          <w:rFonts w:ascii="Arial" w:hAnsi="Arial" w:cs="Arial"/>
          <w:noProof/>
          <w:sz w:val="22"/>
        </w:rPr>
        <w:t xml:space="preserve"> PLINK: a tool set for whole-genome association and population-based linkage analyses. </w:t>
      </w:r>
      <w:r w:rsidRPr="00D1674A">
        <w:rPr>
          <w:rFonts w:ascii="Arial" w:hAnsi="Arial" w:cs="Arial"/>
          <w:i/>
          <w:iCs/>
          <w:noProof/>
          <w:sz w:val="22"/>
        </w:rPr>
        <w:t>Am. J. Hum. Genet.</w:t>
      </w:r>
      <w:r w:rsidRPr="00D1674A">
        <w:rPr>
          <w:rFonts w:ascii="Arial" w:hAnsi="Arial" w:cs="Arial"/>
          <w:noProof/>
          <w:sz w:val="22"/>
        </w:rPr>
        <w:t xml:space="preserve"> </w:t>
      </w:r>
      <w:r w:rsidRPr="00D1674A">
        <w:rPr>
          <w:rFonts w:ascii="Arial" w:hAnsi="Arial" w:cs="Arial"/>
          <w:b/>
          <w:bCs/>
          <w:noProof/>
          <w:sz w:val="22"/>
        </w:rPr>
        <w:t>81,</w:t>
      </w:r>
      <w:r w:rsidRPr="00D1674A">
        <w:rPr>
          <w:rFonts w:ascii="Arial" w:hAnsi="Arial" w:cs="Arial"/>
          <w:noProof/>
          <w:sz w:val="22"/>
        </w:rPr>
        <w:t xml:space="preserve"> 559–575 (2007).</w:t>
      </w:r>
    </w:p>
    <w:p w:rsidR="00B55A71" w:rsidRPr="00D1674A" w:rsidRDefault="00B55A71" w:rsidP="00B55A71">
      <w:pPr>
        <w:widowControl w:val="0"/>
        <w:autoSpaceDE w:val="0"/>
        <w:autoSpaceDN w:val="0"/>
        <w:adjustRightInd w:val="0"/>
        <w:ind w:left="640" w:hanging="640"/>
        <w:rPr>
          <w:rFonts w:ascii="Arial" w:hAnsi="Arial" w:cs="Arial"/>
          <w:noProof/>
          <w:sz w:val="22"/>
        </w:rPr>
      </w:pPr>
      <w:r w:rsidRPr="00D1674A">
        <w:rPr>
          <w:rFonts w:ascii="Arial" w:hAnsi="Arial" w:cs="Arial"/>
          <w:noProof/>
          <w:sz w:val="22"/>
        </w:rPr>
        <w:t>8.</w:t>
      </w:r>
      <w:r w:rsidRPr="00D1674A">
        <w:rPr>
          <w:rFonts w:ascii="Arial" w:hAnsi="Arial" w:cs="Arial"/>
          <w:noProof/>
          <w:sz w:val="22"/>
        </w:rPr>
        <w:tab/>
        <w:t xml:space="preserve">Judd, C. M. &amp; Kenny, D. A. Process analysis: Estimating mediation in treatment evaluations. </w:t>
      </w:r>
      <w:r w:rsidRPr="00D1674A">
        <w:rPr>
          <w:rFonts w:ascii="Arial" w:hAnsi="Arial" w:cs="Arial"/>
          <w:i/>
          <w:iCs/>
          <w:noProof/>
          <w:sz w:val="22"/>
        </w:rPr>
        <w:t>Eval. Rev.</w:t>
      </w:r>
      <w:r w:rsidRPr="00D1674A">
        <w:rPr>
          <w:rFonts w:ascii="Arial" w:hAnsi="Arial" w:cs="Arial"/>
          <w:noProof/>
          <w:sz w:val="22"/>
        </w:rPr>
        <w:t xml:space="preserve"> </w:t>
      </w:r>
      <w:r w:rsidRPr="00D1674A">
        <w:rPr>
          <w:rFonts w:ascii="Arial" w:hAnsi="Arial" w:cs="Arial"/>
          <w:b/>
          <w:bCs/>
          <w:noProof/>
          <w:sz w:val="22"/>
        </w:rPr>
        <w:t>5,</w:t>
      </w:r>
      <w:r w:rsidRPr="00D1674A">
        <w:rPr>
          <w:rFonts w:ascii="Arial" w:hAnsi="Arial" w:cs="Arial"/>
          <w:noProof/>
          <w:sz w:val="22"/>
        </w:rPr>
        <w:t xml:space="preserve"> 602–619 (1981).</w:t>
      </w:r>
    </w:p>
    <w:p w:rsidR="00B55A71" w:rsidRPr="00832FF9" w:rsidRDefault="00B55A71" w:rsidP="00B55A71">
      <w:pPr>
        <w:widowControl w:val="0"/>
        <w:autoSpaceDE w:val="0"/>
        <w:autoSpaceDN w:val="0"/>
        <w:adjustRightInd w:val="0"/>
        <w:ind w:left="640" w:hanging="640"/>
        <w:rPr>
          <w:rFonts w:ascii="Arial" w:hAnsi="Arial"/>
          <w:sz w:val="22"/>
          <w:szCs w:val="20"/>
        </w:rPr>
        <w:sectPr w:rsidR="00B55A71" w:rsidRPr="00832FF9" w:rsidSect="00B55A71">
          <w:pgSz w:w="12240" w:h="15840"/>
          <w:pgMar w:top="1440" w:right="1800" w:bottom="1440" w:left="1800" w:header="720" w:footer="720" w:gutter="0"/>
          <w:cols w:space="720"/>
          <w:docGrid w:linePitch="360"/>
        </w:sectPr>
      </w:pPr>
      <w:r>
        <w:rPr>
          <w:rFonts w:ascii="Arial" w:hAnsi="Arial"/>
          <w:sz w:val="22"/>
          <w:szCs w:val="20"/>
        </w:rPr>
        <w:fldChar w:fldCharType="end"/>
      </w:r>
    </w:p>
    <w:p w:rsidR="000B2E8F" w:rsidRDefault="000B2E8F"/>
    <w:sectPr w:rsidR="000B2E8F" w:rsidSect="004C4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71"/>
    <w:rsid w:val="00014F1C"/>
    <w:rsid w:val="00033D7B"/>
    <w:rsid w:val="000B2E8F"/>
    <w:rsid w:val="0033344E"/>
    <w:rsid w:val="00351D52"/>
    <w:rsid w:val="003A10EA"/>
    <w:rsid w:val="004C4244"/>
    <w:rsid w:val="00774B95"/>
    <w:rsid w:val="008A5AF7"/>
    <w:rsid w:val="00963AF2"/>
    <w:rsid w:val="00A074DD"/>
    <w:rsid w:val="00B55A71"/>
    <w:rsid w:val="00D05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7F04B"/>
  <w15:chartTrackingRefBased/>
  <w15:docId w15:val="{783FE70C-CC02-2C40-B58D-9D69B845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5A71"/>
    <w:rPr>
      <w:rFonts w:ascii="Times New Roman" w:hAnsi="Times New Roman" w:cs="Times New Roman"/>
    </w:rPr>
  </w:style>
  <w:style w:type="paragraph" w:styleId="Heading2">
    <w:name w:val="heading 2"/>
    <w:basedOn w:val="Normal"/>
    <w:next w:val="Normal"/>
    <w:link w:val="Heading2Char"/>
    <w:uiPriority w:val="9"/>
    <w:semiHidden/>
    <w:unhideWhenUsed/>
    <w:qFormat/>
    <w:rsid w:val="00B55A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uiPriority w:val="9"/>
    <w:unhideWhenUsed/>
    <w:qFormat/>
    <w:rsid w:val="00B55A71"/>
    <w:pPr>
      <w:keepNext w:val="0"/>
      <w:keepLines w:val="0"/>
      <w:widowControl w:val="0"/>
      <w:autoSpaceDE w:val="0"/>
      <w:autoSpaceDN w:val="0"/>
      <w:adjustRightInd w:val="0"/>
      <w:spacing w:before="0" w:line="480" w:lineRule="auto"/>
      <w:outlineLvl w:val="2"/>
    </w:pPr>
    <w:rPr>
      <w:rFonts w:asciiTheme="minorHAnsi" w:eastAsiaTheme="minorEastAsia" w:hAnsiTheme="minorHAnsi" w:cs="Times New Roman"/>
      <w:b/>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55A71"/>
    <w:rPr>
      <w:rFonts w:eastAsiaTheme="minorEastAsia" w:cs="Times New Roman"/>
      <w:b/>
    </w:rPr>
  </w:style>
  <w:style w:type="character" w:styleId="Hyperlink">
    <w:name w:val="Hyperlink"/>
    <w:basedOn w:val="DefaultParagraphFont"/>
    <w:uiPriority w:val="99"/>
    <w:unhideWhenUsed/>
    <w:rsid w:val="00B55A71"/>
    <w:rPr>
      <w:color w:val="0563C1" w:themeColor="hyperlink"/>
      <w:u w:val="single"/>
    </w:rPr>
  </w:style>
  <w:style w:type="character" w:customStyle="1" w:styleId="Heading2Char">
    <w:name w:val="Heading 2 Char"/>
    <w:basedOn w:val="DefaultParagraphFont"/>
    <w:link w:val="Heading2"/>
    <w:uiPriority w:val="9"/>
    <w:semiHidden/>
    <w:rsid w:val="00B55A7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iobank.ctsu.ox.ac.uk/crystal/field.cgi?id=20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13082</Words>
  <Characters>74573</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Johnson</dc:creator>
  <cp:keywords/>
  <dc:description/>
  <cp:lastModifiedBy>Emma Johnson</cp:lastModifiedBy>
  <cp:revision>3</cp:revision>
  <dcterms:created xsi:type="dcterms:W3CDTF">2018-07-19T15:19:00Z</dcterms:created>
  <dcterms:modified xsi:type="dcterms:W3CDTF">2018-07-19T15:37:00Z</dcterms:modified>
</cp:coreProperties>
</file>