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null)"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49A" w:rsidRPr="00F1339A" w:rsidRDefault="00D0449A" w:rsidP="00D0449A">
      <w:pPr>
        <w:spacing w:line="480" w:lineRule="auto"/>
      </w:pPr>
      <w:bookmarkStart w:id="0" w:name="_GoBack"/>
      <w:bookmarkEnd w:id="0"/>
      <w:r w:rsidRPr="007D70A5">
        <w:rPr>
          <w:b/>
        </w:rPr>
        <w:t>Appendix:</w:t>
      </w:r>
    </w:p>
    <w:p w:rsidR="00D0449A" w:rsidRPr="007D70A5" w:rsidRDefault="00D0449A" w:rsidP="00D0449A">
      <w:pPr>
        <w:spacing w:line="480" w:lineRule="auto"/>
        <w:rPr>
          <w:rFonts w:cs="Arial"/>
        </w:rPr>
      </w:pPr>
      <w:r w:rsidRPr="00365E59">
        <w:t>Appendix Table 1</w:t>
      </w:r>
      <w:r w:rsidRPr="00365E59">
        <w:rPr>
          <w:rFonts w:cs="Arial"/>
        </w:rPr>
        <w:t>.</w:t>
      </w:r>
      <w:r w:rsidRPr="004F6A49">
        <w:rPr>
          <w:rFonts w:cs="Arial"/>
        </w:rPr>
        <w:t xml:space="preserve"> ICD-9-CM codes used for exclusion of patients with potentially complicated urinary tract infections</w:t>
      </w:r>
    </w:p>
    <w:tbl>
      <w:tblPr>
        <w:tblStyle w:val="TableGrid"/>
        <w:tblW w:w="0" w:type="auto"/>
        <w:tblLook w:val="04A0" w:firstRow="1" w:lastRow="0" w:firstColumn="1" w:lastColumn="0" w:noHBand="0" w:noVBand="1"/>
      </w:tblPr>
      <w:tblGrid>
        <w:gridCol w:w="1998"/>
        <w:gridCol w:w="7578"/>
      </w:tblGrid>
      <w:tr w:rsidR="00D0449A" w:rsidRPr="007D70A5" w:rsidTr="00B64C60">
        <w:tc>
          <w:tcPr>
            <w:tcW w:w="1998" w:type="dxa"/>
          </w:tcPr>
          <w:p w:rsidR="00D0449A" w:rsidRPr="007D70A5" w:rsidRDefault="00D0449A" w:rsidP="00B64C60">
            <w:pPr>
              <w:spacing w:line="480" w:lineRule="auto"/>
              <w:rPr>
                <w:rFonts w:cs="Arial"/>
                <w:b/>
                <w:highlight w:val="yellow"/>
              </w:rPr>
            </w:pPr>
            <w:r w:rsidRPr="007D70A5">
              <w:rPr>
                <w:rFonts w:cs="Arial"/>
                <w:b/>
              </w:rPr>
              <w:t>Conditions</w:t>
            </w:r>
          </w:p>
        </w:tc>
        <w:tc>
          <w:tcPr>
            <w:tcW w:w="7578" w:type="dxa"/>
          </w:tcPr>
          <w:p w:rsidR="00D0449A" w:rsidRPr="007D70A5" w:rsidRDefault="00D0449A" w:rsidP="00B64C60">
            <w:pPr>
              <w:spacing w:line="480" w:lineRule="auto"/>
              <w:rPr>
                <w:rFonts w:cs="Arial"/>
                <w:b/>
                <w:highlight w:val="yellow"/>
              </w:rPr>
            </w:pPr>
            <w:r w:rsidRPr="007D70A5">
              <w:rPr>
                <w:rFonts w:cs="Arial"/>
                <w:b/>
              </w:rPr>
              <w:t>ICD-9-CM diagnosis codes</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Urologic abnormalities</w:t>
            </w:r>
          </w:p>
        </w:tc>
        <w:tc>
          <w:tcPr>
            <w:tcW w:w="7578" w:type="dxa"/>
          </w:tcPr>
          <w:p w:rsidR="00D0449A" w:rsidRPr="007D70A5" w:rsidRDefault="00D0449A" w:rsidP="00B64C60">
            <w:pPr>
              <w:spacing w:line="480" w:lineRule="auto"/>
              <w:rPr>
                <w:rFonts w:cs="Arial"/>
              </w:rPr>
            </w:pPr>
            <w:r w:rsidRPr="007D70A5">
              <w:rPr>
                <w:rFonts w:cs="Arial"/>
              </w:rPr>
              <w:t>188.0, 1881.1, 188.2, 188.3, 188.4, 188.5, 188.6, 188.7, 188.8, 188.9, 594.0, 594.1, 594.2, 594.8, 594.9, 599.60, 599.69, V13.00, V13.01, 198.1, 233.9, 236.90, 236.99, 592.9, 599.9, 619.0, 753.5, 753.9, V10.50, V10.59, V13.09, V44.6, V45.74</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Spinal injury</w:t>
            </w:r>
          </w:p>
        </w:tc>
        <w:tc>
          <w:tcPr>
            <w:tcW w:w="7578" w:type="dxa"/>
          </w:tcPr>
          <w:p w:rsidR="00D0449A" w:rsidRPr="007D70A5" w:rsidRDefault="00D0449A" w:rsidP="00B64C60">
            <w:pPr>
              <w:spacing w:line="480" w:lineRule="auto"/>
              <w:rPr>
                <w:rFonts w:cs="Arial"/>
              </w:rPr>
            </w:pPr>
            <w:r w:rsidRPr="007D70A5">
              <w:rPr>
                <w:rFonts w:cs="Arial"/>
              </w:rPr>
              <w:t>344.00, 344.01, 344.02, 344.03, 344.04, 344.09, 344.1, 344.2, 344.30, 344.31, 344.32, 344.40, 344.41, 344.42, 344.5, 344.60, 344.61, 344.81, 344.89, 344.9, 805.0, 805.1, 805.2, 805.3, 805.4, 805.5, 805.6, 805.7, 805.8, 805.9, 806.00, 806.01, 806.02, 806.03, 806.04, 806.05, 806.06, 806.07, 806.08, 806.09, 952.00, 952.01, 952.02, 952.03, 952.04, 952.05, 952.06, 952.07, 952.08, 952.09, 952.10, 952.11, 952.12, 952.13, 952.14, 952.15, 952.16, 952.17, 952.18, 952.19, 952.2, 952.3, 952.4, 952.8, 952.9</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Malignancy</w:t>
            </w:r>
          </w:p>
        </w:tc>
        <w:tc>
          <w:tcPr>
            <w:tcW w:w="7578" w:type="dxa"/>
          </w:tcPr>
          <w:p w:rsidR="00D0449A" w:rsidRPr="007D70A5" w:rsidRDefault="00D0449A" w:rsidP="00B64C60">
            <w:pPr>
              <w:spacing w:line="480" w:lineRule="auto"/>
              <w:rPr>
                <w:rFonts w:cs="Arial"/>
              </w:rPr>
            </w:pPr>
            <w:r w:rsidRPr="007D70A5">
              <w:rPr>
                <w:rFonts w:cs="Arial"/>
              </w:rPr>
              <w:t>140.0-209.79, 230.0-239.9, 258.01, 258.02, 258.03, 258.1, 258.8, 258.9, V10.0-V10.91</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Congenital abnormalities</w:t>
            </w:r>
          </w:p>
        </w:tc>
        <w:tc>
          <w:tcPr>
            <w:tcW w:w="7578" w:type="dxa"/>
          </w:tcPr>
          <w:p w:rsidR="00D0449A" w:rsidRPr="007D70A5" w:rsidRDefault="00D0449A" w:rsidP="00B64C60">
            <w:pPr>
              <w:spacing w:line="480" w:lineRule="auto"/>
              <w:rPr>
                <w:rFonts w:cs="Arial"/>
              </w:rPr>
            </w:pPr>
            <w:r w:rsidRPr="007D70A5">
              <w:rPr>
                <w:rFonts w:cs="Arial"/>
              </w:rPr>
              <w:t>740.0-759.9</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Pressure ulcers</w:t>
            </w:r>
          </w:p>
        </w:tc>
        <w:tc>
          <w:tcPr>
            <w:tcW w:w="7578" w:type="dxa"/>
          </w:tcPr>
          <w:p w:rsidR="00D0449A" w:rsidRPr="007D70A5" w:rsidRDefault="00D0449A" w:rsidP="00B64C60">
            <w:pPr>
              <w:spacing w:line="480" w:lineRule="auto"/>
              <w:rPr>
                <w:rFonts w:cs="Arial"/>
              </w:rPr>
            </w:pPr>
            <w:r w:rsidRPr="007D70A5">
              <w:rPr>
                <w:rFonts w:cs="Arial"/>
              </w:rPr>
              <w:t>707.00, 707.01, 707.02, 707.03, 707.04, 707.05, 707.06, 707.09, 707.20, 707.21, 707.22, 707.23, 707.24, 707.25</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lastRenderedPageBreak/>
              <w:t>Multiple sclerosis</w:t>
            </w:r>
          </w:p>
        </w:tc>
        <w:tc>
          <w:tcPr>
            <w:tcW w:w="7578" w:type="dxa"/>
          </w:tcPr>
          <w:p w:rsidR="00D0449A" w:rsidRPr="007D70A5" w:rsidRDefault="00D0449A" w:rsidP="00B64C60">
            <w:pPr>
              <w:spacing w:line="480" w:lineRule="auto"/>
              <w:rPr>
                <w:rFonts w:cs="Arial"/>
              </w:rPr>
            </w:pPr>
            <w:r w:rsidRPr="007D70A5">
              <w:rPr>
                <w:rFonts w:cs="Arial"/>
              </w:rPr>
              <w:t>340</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Inflammatory bowel disease</w:t>
            </w:r>
          </w:p>
        </w:tc>
        <w:tc>
          <w:tcPr>
            <w:tcW w:w="7578" w:type="dxa"/>
          </w:tcPr>
          <w:p w:rsidR="00D0449A" w:rsidRPr="007D70A5" w:rsidRDefault="00D0449A" w:rsidP="00B64C60">
            <w:pPr>
              <w:spacing w:line="480" w:lineRule="auto"/>
              <w:rPr>
                <w:rFonts w:cs="Arial"/>
              </w:rPr>
            </w:pPr>
            <w:r w:rsidRPr="007D70A5">
              <w:rPr>
                <w:rFonts w:cs="Arial"/>
              </w:rPr>
              <w:t>550.0, 555.1, 555.2, 555.9, 556.0, 556.1, 556.2, 556.3, 556.4, 556.4, 556.5, 556.6, 556.8, 556.9</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Organ transplant</w:t>
            </w:r>
          </w:p>
        </w:tc>
        <w:tc>
          <w:tcPr>
            <w:tcW w:w="7578" w:type="dxa"/>
          </w:tcPr>
          <w:p w:rsidR="00D0449A" w:rsidRPr="007D70A5" w:rsidRDefault="00D0449A" w:rsidP="00B64C60">
            <w:pPr>
              <w:spacing w:line="480" w:lineRule="auto"/>
              <w:rPr>
                <w:rFonts w:cs="Arial"/>
              </w:rPr>
            </w:pPr>
            <w:r w:rsidRPr="007D70A5">
              <w:rPr>
                <w:rFonts w:cs="Arial"/>
              </w:rPr>
              <w:t>996.80, 996.81, 996.82, 996.83, 996.84, 996.85, 996.86, 996.87, 996.89, V42.0, V42.1, V42.6, V42.7, V42.81, V42.82, V42.83, V42.84, V42.89</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HIV/AIDS</w:t>
            </w:r>
          </w:p>
        </w:tc>
        <w:tc>
          <w:tcPr>
            <w:tcW w:w="7578" w:type="dxa"/>
          </w:tcPr>
          <w:p w:rsidR="00D0449A" w:rsidRPr="007D70A5" w:rsidRDefault="00D0449A" w:rsidP="00B64C60">
            <w:pPr>
              <w:spacing w:line="480" w:lineRule="auto"/>
              <w:rPr>
                <w:rFonts w:cs="Arial"/>
              </w:rPr>
            </w:pPr>
            <w:r w:rsidRPr="007D70A5">
              <w:rPr>
                <w:rFonts w:cs="Arial"/>
              </w:rPr>
              <w:t>042</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Stroke</w:t>
            </w:r>
          </w:p>
        </w:tc>
        <w:tc>
          <w:tcPr>
            <w:tcW w:w="7578" w:type="dxa"/>
          </w:tcPr>
          <w:p w:rsidR="00D0449A" w:rsidRPr="007D70A5" w:rsidRDefault="00D0449A" w:rsidP="00B64C60">
            <w:pPr>
              <w:spacing w:line="480" w:lineRule="auto"/>
              <w:rPr>
                <w:rFonts w:cs="Arial"/>
              </w:rPr>
            </w:pPr>
            <w:r w:rsidRPr="007D70A5">
              <w:rPr>
                <w:rFonts w:cs="Arial"/>
              </w:rPr>
              <w:t>434.00, 434.01, 434.10, 434.11, 434.90, 434.91, 435.0, 435.1, 435.2, 435.3, 435.8, 435.9</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Chemotherapy or radiation</w:t>
            </w:r>
          </w:p>
        </w:tc>
        <w:tc>
          <w:tcPr>
            <w:tcW w:w="7578" w:type="dxa"/>
          </w:tcPr>
          <w:p w:rsidR="00D0449A" w:rsidRPr="007D70A5" w:rsidRDefault="00D0449A" w:rsidP="00B64C60">
            <w:pPr>
              <w:spacing w:line="480" w:lineRule="auto"/>
              <w:rPr>
                <w:rFonts w:cs="Arial"/>
              </w:rPr>
            </w:pPr>
            <w:r w:rsidRPr="007D70A5">
              <w:rPr>
                <w:rFonts w:cs="Arial"/>
              </w:rPr>
              <w:t>V58.0, V58.11, V58.12, V66.1, V66.2, V67.1, V67.2, V15.3</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Interstitial cystitis, other urologic problems, and other urologic infections</w:t>
            </w:r>
          </w:p>
        </w:tc>
        <w:tc>
          <w:tcPr>
            <w:tcW w:w="7578" w:type="dxa"/>
          </w:tcPr>
          <w:p w:rsidR="00D0449A" w:rsidRPr="007D70A5" w:rsidRDefault="00D0449A" w:rsidP="00B64C60">
            <w:pPr>
              <w:spacing w:line="480" w:lineRule="auto"/>
              <w:rPr>
                <w:rFonts w:cs="Arial"/>
              </w:rPr>
            </w:pPr>
            <w:r w:rsidRPr="007D70A5">
              <w:rPr>
                <w:rFonts w:cs="Arial"/>
              </w:rPr>
              <w:t>595.1, 595.2, 595.3595.4, 595.81, 595.82, 595.89, 596.0, 596.1, 596.2, 596.3, 596.4, 596.5, 596.51, 596.52, 596.53, 596.54, 596.55, 596.59, 596.6, 596.7596.8, 596.9, 788.31, 016.30, 098.0, 112.2, 131.00, 136.9, 760.1</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Pyelonephritis</w:t>
            </w:r>
          </w:p>
        </w:tc>
        <w:tc>
          <w:tcPr>
            <w:tcW w:w="7578" w:type="dxa"/>
          </w:tcPr>
          <w:p w:rsidR="00D0449A" w:rsidRPr="007D70A5" w:rsidRDefault="00D0449A" w:rsidP="00B64C60">
            <w:pPr>
              <w:spacing w:line="480" w:lineRule="auto"/>
              <w:rPr>
                <w:rFonts w:cs="Arial"/>
              </w:rPr>
            </w:pPr>
            <w:r w:rsidRPr="007D70A5">
              <w:rPr>
                <w:rFonts w:cs="Arial"/>
              </w:rPr>
              <w:t>590.00, 590.01, 590.10, 590.11, 590.80, 590.81</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Kidney stones</w:t>
            </w:r>
          </w:p>
        </w:tc>
        <w:tc>
          <w:tcPr>
            <w:tcW w:w="7578" w:type="dxa"/>
          </w:tcPr>
          <w:p w:rsidR="00D0449A" w:rsidRPr="007D70A5" w:rsidRDefault="00D0449A" w:rsidP="00B64C60">
            <w:pPr>
              <w:spacing w:line="480" w:lineRule="auto"/>
              <w:rPr>
                <w:rFonts w:cs="Arial"/>
              </w:rPr>
            </w:pPr>
            <w:r w:rsidRPr="007D70A5">
              <w:rPr>
                <w:rFonts w:cs="Arial"/>
              </w:rPr>
              <w:t>592.0, 592.1, 592.9</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Renal failure</w:t>
            </w:r>
          </w:p>
        </w:tc>
        <w:tc>
          <w:tcPr>
            <w:tcW w:w="7578" w:type="dxa"/>
          </w:tcPr>
          <w:p w:rsidR="00D0449A" w:rsidRPr="007D70A5" w:rsidRDefault="00D0449A" w:rsidP="00B64C60">
            <w:pPr>
              <w:spacing w:line="480" w:lineRule="auto"/>
              <w:rPr>
                <w:rFonts w:cs="Arial"/>
              </w:rPr>
            </w:pPr>
            <w:r w:rsidRPr="007D70A5">
              <w:rPr>
                <w:rFonts w:cs="Arial"/>
              </w:rPr>
              <w:t>403.01, 403.11-403.91, 404.02, 404.03, 404.12, 404.13, 404.92, 404.93, 585.3, 585.4, 585.5, 585.6, 585.9, 586, V45.11, V45.12, V56.0, V56.1, V56.2, V56.3, V56.8</w:t>
            </w:r>
          </w:p>
        </w:tc>
      </w:tr>
      <w:tr w:rsidR="00D0449A" w:rsidRPr="007D70A5" w:rsidTr="00B64C60">
        <w:tc>
          <w:tcPr>
            <w:tcW w:w="1998" w:type="dxa"/>
          </w:tcPr>
          <w:p w:rsidR="00D0449A" w:rsidRPr="007D70A5" w:rsidRDefault="00D0449A" w:rsidP="00B64C60">
            <w:pPr>
              <w:spacing w:line="480" w:lineRule="auto"/>
              <w:rPr>
                <w:rFonts w:cs="Arial"/>
                <w:highlight w:val="yellow"/>
              </w:rPr>
            </w:pPr>
            <w:r w:rsidRPr="007D70A5">
              <w:rPr>
                <w:rFonts w:cs="Arial"/>
              </w:rPr>
              <w:t xml:space="preserve">Rheumatologic </w:t>
            </w:r>
            <w:r w:rsidRPr="007D70A5">
              <w:rPr>
                <w:rFonts w:cs="Arial"/>
              </w:rPr>
              <w:lastRenderedPageBreak/>
              <w:t>conditions</w:t>
            </w:r>
          </w:p>
        </w:tc>
        <w:tc>
          <w:tcPr>
            <w:tcW w:w="7578" w:type="dxa"/>
          </w:tcPr>
          <w:p w:rsidR="00D0449A" w:rsidRPr="007D70A5" w:rsidRDefault="00D0449A" w:rsidP="00B64C60">
            <w:pPr>
              <w:spacing w:line="480" w:lineRule="auto"/>
              <w:rPr>
                <w:rFonts w:cs="Arial"/>
              </w:rPr>
            </w:pPr>
            <w:r w:rsidRPr="007D70A5">
              <w:rPr>
                <w:rFonts w:cs="Arial"/>
              </w:rPr>
              <w:lastRenderedPageBreak/>
              <w:t xml:space="preserve">714.0, 714.1, 714.2, 714.30, 714.31, 714.32, 714.33, 714.81, 714.9, 720.0, 710.2, </w:t>
            </w:r>
            <w:r w:rsidRPr="007D70A5">
              <w:rPr>
                <w:rFonts w:cs="Arial"/>
              </w:rPr>
              <w:lastRenderedPageBreak/>
              <w:t>710.3, 710.8, 710.9, 710.0</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lastRenderedPageBreak/>
              <w:t>Sarcoidosis</w:t>
            </w:r>
          </w:p>
        </w:tc>
        <w:tc>
          <w:tcPr>
            <w:tcW w:w="7578" w:type="dxa"/>
          </w:tcPr>
          <w:p w:rsidR="00D0449A" w:rsidRPr="007D70A5" w:rsidRDefault="00D0449A" w:rsidP="00B64C60">
            <w:pPr>
              <w:spacing w:line="480" w:lineRule="auto"/>
              <w:rPr>
                <w:rFonts w:cs="Arial"/>
              </w:rPr>
            </w:pPr>
            <w:r w:rsidRPr="007D70A5">
              <w:rPr>
                <w:rFonts w:cs="Arial"/>
              </w:rPr>
              <w:t>135</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Cystic fibrosis</w:t>
            </w:r>
          </w:p>
        </w:tc>
        <w:tc>
          <w:tcPr>
            <w:tcW w:w="7578" w:type="dxa"/>
          </w:tcPr>
          <w:p w:rsidR="00D0449A" w:rsidRPr="007D70A5" w:rsidRDefault="00D0449A" w:rsidP="00B64C60">
            <w:pPr>
              <w:spacing w:line="480" w:lineRule="auto"/>
              <w:rPr>
                <w:rFonts w:cs="Arial"/>
              </w:rPr>
            </w:pPr>
            <w:r w:rsidRPr="007D70A5">
              <w:rPr>
                <w:rFonts w:cs="Arial"/>
              </w:rPr>
              <w:t>277.00, 277.01, 277.02, 277.03, 277.09</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Parkinson’s</w:t>
            </w:r>
          </w:p>
        </w:tc>
        <w:tc>
          <w:tcPr>
            <w:tcW w:w="7578" w:type="dxa"/>
          </w:tcPr>
          <w:p w:rsidR="00D0449A" w:rsidRPr="007D70A5" w:rsidRDefault="00D0449A" w:rsidP="00B64C60">
            <w:pPr>
              <w:spacing w:line="480" w:lineRule="auto"/>
              <w:rPr>
                <w:rFonts w:cs="Arial"/>
              </w:rPr>
            </w:pPr>
            <w:r w:rsidRPr="007D70A5">
              <w:rPr>
                <w:rFonts w:cs="Arial"/>
              </w:rPr>
              <w:t>332.0, 332.1</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Diabetes</w:t>
            </w:r>
          </w:p>
        </w:tc>
        <w:tc>
          <w:tcPr>
            <w:tcW w:w="7578" w:type="dxa"/>
          </w:tcPr>
          <w:p w:rsidR="00D0449A" w:rsidRPr="007D70A5" w:rsidRDefault="00D0449A" w:rsidP="00B64C60">
            <w:pPr>
              <w:spacing w:line="480" w:lineRule="auto"/>
              <w:rPr>
                <w:rFonts w:cs="Arial"/>
              </w:rPr>
            </w:pPr>
            <w:r w:rsidRPr="007D70A5">
              <w:rPr>
                <w:rFonts w:cs="Arial"/>
              </w:rPr>
              <w:t>249.00, 249.01, 249.20, 249.21, 249.30, 249.31, 249.40, 249.41, 249.50, 249.51, 249.60, 249.61, 249.70, 249.71, 249.80, 249.81, 249.90, 249.91, 250.00, 250.01, 250.02, 250.03, 250.10, 250.11, 250.12, 250.13, 250.20, 250.21, 250.22, 250.23, 250.30, 250.31, 250.32, 250.33, 250.40, 250.41, 250.42, 250.43, 250.50, 250.51, 250.52, 250.53, 250.60, 250.61, 250.62, 250.63, 250.70, 250.71, 250.72, 250.73, 250.80, 250.81, 250.82, 250.83, 250.90, 250.91, 250.92, 250.93</w:t>
            </w:r>
          </w:p>
        </w:tc>
      </w:tr>
    </w:tbl>
    <w:p w:rsidR="00D0449A" w:rsidRPr="007D70A5" w:rsidRDefault="00D0449A" w:rsidP="00D0449A">
      <w:pPr>
        <w:spacing w:line="480" w:lineRule="auto"/>
      </w:pPr>
    </w:p>
    <w:p w:rsidR="00D0449A" w:rsidRPr="007D70A5" w:rsidRDefault="00D0449A" w:rsidP="00D0449A">
      <w:pPr>
        <w:spacing w:line="480" w:lineRule="auto"/>
        <w:rPr>
          <w:rFonts w:cs="Arial"/>
        </w:rPr>
      </w:pPr>
      <w:r w:rsidRPr="00365E59">
        <w:t>Appendix Table 2</w:t>
      </w:r>
      <w:r w:rsidRPr="004F6A49">
        <w:rPr>
          <w:rFonts w:cs="Arial"/>
        </w:rPr>
        <w:t>. List of medications used to exclude patients with potentially complicated urinary tract infections</w:t>
      </w:r>
    </w:p>
    <w:tbl>
      <w:tblPr>
        <w:tblStyle w:val="TableGrid"/>
        <w:tblW w:w="9355" w:type="dxa"/>
        <w:tblLook w:val="04A0" w:firstRow="1" w:lastRow="0" w:firstColumn="1" w:lastColumn="0" w:noHBand="0" w:noVBand="1"/>
      </w:tblPr>
      <w:tblGrid>
        <w:gridCol w:w="3975"/>
        <w:gridCol w:w="5380"/>
      </w:tblGrid>
      <w:tr w:rsidR="00D0449A" w:rsidRPr="007D70A5" w:rsidTr="00B64C60">
        <w:tc>
          <w:tcPr>
            <w:tcW w:w="3975" w:type="dxa"/>
          </w:tcPr>
          <w:p w:rsidR="00D0449A" w:rsidRPr="007D70A5" w:rsidRDefault="00D0449A" w:rsidP="00B64C60">
            <w:pPr>
              <w:spacing w:line="480" w:lineRule="auto"/>
            </w:pPr>
            <w:r w:rsidRPr="007D70A5">
              <w:rPr>
                <w:rFonts w:cs="Arial"/>
                <w:b/>
              </w:rPr>
              <w:t>Conditions</w:t>
            </w:r>
          </w:p>
        </w:tc>
        <w:tc>
          <w:tcPr>
            <w:tcW w:w="5380" w:type="dxa"/>
          </w:tcPr>
          <w:p w:rsidR="00D0449A" w:rsidRPr="007D70A5" w:rsidRDefault="00D0449A" w:rsidP="00B64C60">
            <w:pPr>
              <w:spacing w:line="480" w:lineRule="auto"/>
            </w:pPr>
            <w:r w:rsidRPr="007D70A5">
              <w:rPr>
                <w:rFonts w:cs="Arial"/>
                <w:b/>
              </w:rPr>
              <w:t>Medication Names</w:t>
            </w:r>
          </w:p>
        </w:tc>
      </w:tr>
      <w:tr w:rsidR="00D0449A" w:rsidRPr="007D70A5" w:rsidTr="00B64C60">
        <w:tc>
          <w:tcPr>
            <w:tcW w:w="3975" w:type="dxa"/>
          </w:tcPr>
          <w:p w:rsidR="00D0449A" w:rsidRPr="007D70A5" w:rsidRDefault="00D0449A" w:rsidP="00B64C60">
            <w:pPr>
              <w:spacing w:line="480" w:lineRule="auto"/>
            </w:pPr>
            <w:r w:rsidRPr="007D70A5">
              <w:t>Autoimmune conditions, steroids, or other immunosuppressants</w:t>
            </w:r>
          </w:p>
        </w:tc>
        <w:tc>
          <w:tcPr>
            <w:tcW w:w="5380" w:type="dxa"/>
          </w:tcPr>
          <w:p w:rsidR="00D0449A" w:rsidRPr="007D70A5" w:rsidRDefault="00D0449A" w:rsidP="00B64C60">
            <w:pPr>
              <w:spacing w:line="480" w:lineRule="auto"/>
            </w:pPr>
            <w:r w:rsidRPr="007D70A5">
              <w:t xml:space="preserve">Abatacept, adalimumab, alefacept, ambrisentan, aminocaproic acid, azathioprine, balsalazide disodium, belimumab, bosentan, canakinumab, certolizumab pegol, cevimeline, ciprofloxacin/dexamethasone*, cyclophosphamide, cyclosporine, dapsone, dexamethasone*, dexamethasone acetate*, </w:t>
            </w:r>
            <w:r w:rsidRPr="007D70A5">
              <w:lastRenderedPageBreak/>
              <w:t>dexamethasone sodium phosphate*, dexamethasone, micronized*, dexamethasone/neomycin sulfate/polymyxin B sulfate*, dexamethasone/tobramycin*, efalizumab, etanercept, febuxostat, gentamicin sulfate/prednisolone acetate*, golimumab, immune globulin, infliximab, leflunomide, mercaptopurine, mesalamine, methotrexate, methylprednisolone*, methylprednisolone acetate*, methylprednisolone sodium succinate*, methylPREDNISolone, micronized*, mycophenolate mofetil, mycophenolate sodium, neomycin/polymyxin B /prednisolone acetate*, omalizumab, prednisolone*, prednisolone acetate*, prednisolone acetate/sulfacetamide sodium*, prednisolone sodium phosphate*, prednisolone sodium phosphate/sulfacetamide Sodium*, prednisone*, rituximab, sildenafil, sirolimus, sulfasalazine, tacrolimus, tocilizumab, tofacitinib, ustekinumab</w:t>
            </w:r>
          </w:p>
          <w:p w:rsidR="00D0449A" w:rsidRPr="007D70A5" w:rsidRDefault="00D0449A" w:rsidP="00B64C60">
            <w:pPr>
              <w:spacing w:line="480" w:lineRule="auto"/>
            </w:pPr>
          </w:p>
          <w:p w:rsidR="00D0449A" w:rsidRPr="007D70A5" w:rsidRDefault="00D0449A" w:rsidP="00B64C60">
            <w:pPr>
              <w:spacing w:line="480" w:lineRule="auto"/>
            </w:pPr>
          </w:p>
          <w:p w:rsidR="00D0449A" w:rsidRPr="007D70A5" w:rsidRDefault="00D0449A" w:rsidP="00B64C60">
            <w:pPr>
              <w:spacing w:line="480" w:lineRule="auto"/>
            </w:pPr>
            <w:r w:rsidRPr="007D70A5">
              <w:t xml:space="preserve"> </w:t>
            </w:r>
          </w:p>
        </w:tc>
      </w:tr>
      <w:tr w:rsidR="00D0449A" w:rsidRPr="007D70A5" w:rsidTr="00B64C60">
        <w:tc>
          <w:tcPr>
            <w:tcW w:w="3975" w:type="dxa"/>
          </w:tcPr>
          <w:p w:rsidR="00D0449A" w:rsidRPr="007D70A5" w:rsidRDefault="00D0449A" w:rsidP="00B64C60">
            <w:pPr>
              <w:spacing w:line="480" w:lineRule="auto"/>
            </w:pPr>
            <w:r w:rsidRPr="007D70A5">
              <w:lastRenderedPageBreak/>
              <w:t>Diabetes medications and testing supplies</w:t>
            </w:r>
          </w:p>
        </w:tc>
        <w:tc>
          <w:tcPr>
            <w:tcW w:w="5380" w:type="dxa"/>
          </w:tcPr>
          <w:p w:rsidR="00D0449A" w:rsidRPr="007D70A5" w:rsidRDefault="00D0449A" w:rsidP="00B64C60">
            <w:pPr>
              <w:spacing w:line="480" w:lineRule="auto"/>
            </w:pPr>
            <w:r w:rsidRPr="007D70A5">
              <w:t xml:space="preserve">Acarbose, exenatide, glimepiride, glipizide, </w:t>
            </w:r>
            <w:r w:rsidRPr="007D70A5">
              <w:lastRenderedPageBreak/>
              <w:t>glipizide/metformin, glucose meter, glucose meter test control, glucose meter test control strips, glucose blood test, glyburide, glyburide, micronized, glyburide/metformin hydrochloride, insulin aspart, insulin detemir, insulin glargine, insulin glulisine, insulin human isophane (NPH), NPH/insulin human regular, insulin human regular, insulin lispro, insulin syringe, linagliptin, liraglutide, metformin, metformin/pioglitazone, metformin/repaglinide, metformin/rosiglitazone, metformin/saxagliptin, metformin/sitagliptin, pioglitazone hydrochloride, rosiglitazone maleate, sitagliptin phosphate</w:t>
            </w:r>
          </w:p>
          <w:p w:rsidR="00D0449A" w:rsidRPr="007D70A5" w:rsidRDefault="00D0449A" w:rsidP="00B64C60">
            <w:pPr>
              <w:spacing w:line="480" w:lineRule="auto"/>
            </w:pPr>
          </w:p>
          <w:p w:rsidR="00D0449A" w:rsidRPr="007D70A5" w:rsidRDefault="00D0449A" w:rsidP="00B64C60">
            <w:pPr>
              <w:spacing w:line="480" w:lineRule="auto"/>
            </w:pPr>
          </w:p>
        </w:tc>
      </w:tr>
      <w:tr w:rsidR="00D0449A" w:rsidRPr="007D70A5" w:rsidTr="00B64C60">
        <w:tc>
          <w:tcPr>
            <w:tcW w:w="3975" w:type="dxa"/>
          </w:tcPr>
          <w:p w:rsidR="00D0449A" w:rsidRPr="007D70A5" w:rsidRDefault="00D0449A" w:rsidP="00B64C60">
            <w:pPr>
              <w:spacing w:line="480" w:lineRule="auto"/>
            </w:pPr>
            <w:r w:rsidRPr="007D70A5">
              <w:lastRenderedPageBreak/>
              <w:t>HIV/AIDS</w:t>
            </w:r>
          </w:p>
        </w:tc>
        <w:tc>
          <w:tcPr>
            <w:tcW w:w="5380" w:type="dxa"/>
          </w:tcPr>
          <w:p w:rsidR="00D0449A" w:rsidRPr="007D70A5" w:rsidRDefault="00D0449A" w:rsidP="00B64C60">
            <w:pPr>
              <w:spacing w:line="480" w:lineRule="auto"/>
            </w:pPr>
            <w:r w:rsidRPr="007D70A5">
              <w:t>Abacavir, abacavir/lamivudine, abacavir/lamivudine/zidovudine, cobicistat/elvitegravir/emtricitabine/tenofovir, dapsone, darunavir, efavirenz, efavirenz/emtricitabine/tenofovir, emtricitabine/rilpivirine/tenofovir, etravirine, lamivudine, lamivudine/zidovudine, lopinavir/ritonavir, raltegravir, ritonavir, tenofovir, zidovudine</w:t>
            </w:r>
          </w:p>
          <w:p w:rsidR="00D0449A" w:rsidRPr="007D70A5" w:rsidRDefault="00D0449A" w:rsidP="00B64C60">
            <w:pPr>
              <w:spacing w:line="480" w:lineRule="auto"/>
              <w:ind w:left="360" w:firstLine="720"/>
            </w:pPr>
          </w:p>
          <w:p w:rsidR="00D0449A" w:rsidRPr="007D70A5" w:rsidRDefault="00D0449A" w:rsidP="00B64C60">
            <w:pPr>
              <w:spacing w:line="480" w:lineRule="auto"/>
            </w:pPr>
          </w:p>
        </w:tc>
      </w:tr>
      <w:tr w:rsidR="00D0449A" w:rsidRPr="007D70A5" w:rsidTr="00B64C60">
        <w:tc>
          <w:tcPr>
            <w:tcW w:w="3975" w:type="dxa"/>
          </w:tcPr>
          <w:p w:rsidR="00D0449A" w:rsidRPr="007D70A5" w:rsidRDefault="00D0449A" w:rsidP="00B64C60">
            <w:pPr>
              <w:spacing w:line="480" w:lineRule="auto"/>
            </w:pPr>
            <w:r w:rsidRPr="007D70A5">
              <w:lastRenderedPageBreak/>
              <w:t>Underlying urologic problems (including medications that can contribute to and treat bladder retention, bladder pain, or recurrent urinary tract infections)</w:t>
            </w:r>
          </w:p>
        </w:tc>
        <w:tc>
          <w:tcPr>
            <w:tcW w:w="5380" w:type="dxa"/>
          </w:tcPr>
          <w:p w:rsidR="00D0449A" w:rsidRPr="007D70A5" w:rsidRDefault="00D0449A" w:rsidP="00B64C60">
            <w:pPr>
              <w:spacing w:line="480" w:lineRule="auto"/>
            </w:pPr>
            <w:r w:rsidRPr="007D70A5">
              <w:t>Atropine/chlorpheniramine/hyoscyamine, benzoic acid, hyoscyamine, methenamine, methylene blue, carbidopa, carbidopa/entacapone/levodopa, carbidopa/levodopa, darifenacin hydrobromide, fesoterodine fumarate, flavoxate hydrochloride, hyoscyamine/methenamine/methylene blue, hyoscyamine sulfate, hyoscyamine sulfate/phenyltoloxamine citrate, methenamine hippurate, methenamine mandelate, mirabegron, oxybutynin, oxybutynin chloride, pentosan polysulfate sodium, phenazopyridine hydrochloride, solifenacin succinate, tolterodine tartrate, trihexyphenidyl, trospium chloride</w:t>
            </w:r>
          </w:p>
          <w:p w:rsidR="00D0449A" w:rsidRPr="007D70A5" w:rsidRDefault="00D0449A" w:rsidP="00B64C60">
            <w:pPr>
              <w:spacing w:line="480" w:lineRule="auto"/>
            </w:pPr>
          </w:p>
          <w:p w:rsidR="00D0449A" w:rsidRPr="007D70A5" w:rsidRDefault="00D0449A" w:rsidP="00B64C60">
            <w:pPr>
              <w:spacing w:line="480" w:lineRule="auto"/>
            </w:pPr>
          </w:p>
          <w:p w:rsidR="00D0449A" w:rsidRPr="007D70A5" w:rsidRDefault="00D0449A" w:rsidP="00B64C60">
            <w:pPr>
              <w:spacing w:line="480" w:lineRule="auto"/>
            </w:pPr>
          </w:p>
        </w:tc>
      </w:tr>
      <w:tr w:rsidR="00D0449A" w:rsidRPr="007D70A5" w:rsidTr="00B64C60">
        <w:tc>
          <w:tcPr>
            <w:tcW w:w="3975" w:type="dxa"/>
          </w:tcPr>
          <w:p w:rsidR="00D0449A" w:rsidRPr="007D70A5" w:rsidRDefault="00D0449A" w:rsidP="00B64C60">
            <w:pPr>
              <w:spacing w:line="480" w:lineRule="auto"/>
            </w:pPr>
            <w:r w:rsidRPr="007D70A5">
              <w:t>Malignancy or myelodysplastic syndromes</w:t>
            </w:r>
          </w:p>
        </w:tc>
        <w:tc>
          <w:tcPr>
            <w:tcW w:w="5380" w:type="dxa"/>
          </w:tcPr>
          <w:p w:rsidR="00D0449A" w:rsidRPr="007D70A5" w:rsidRDefault="00D0449A" w:rsidP="00B64C60">
            <w:pPr>
              <w:spacing w:line="480" w:lineRule="auto"/>
            </w:pPr>
            <w:r w:rsidRPr="007D70A5">
              <w:t xml:space="preserve">Apixaban, Aprepitant, cyclophosphamide, cyclosporine, dabigatran, darbepoetin alfa, deferasirox, enoxaparin, epoetin alfa, filgrastim, fluorouracil, fondaparinux, immune globulin, letrozole, leucovorin, octreotide acetate, pegfilgrastim, raloxifene hydrochloride, </w:t>
            </w:r>
            <w:r w:rsidRPr="007D70A5">
              <w:lastRenderedPageBreak/>
              <w:t>tacrolimus, tamoxifen citrate</w:t>
            </w:r>
          </w:p>
        </w:tc>
      </w:tr>
      <w:tr w:rsidR="00D0449A" w:rsidRPr="007D70A5" w:rsidTr="00B64C60">
        <w:tc>
          <w:tcPr>
            <w:tcW w:w="3975" w:type="dxa"/>
          </w:tcPr>
          <w:p w:rsidR="00D0449A" w:rsidRPr="007D70A5" w:rsidRDefault="00D0449A" w:rsidP="00B64C60">
            <w:pPr>
              <w:spacing w:line="480" w:lineRule="auto"/>
            </w:pPr>
            <w:r>
              <w:lastRenderedPageBreak/>
              <w:t xml:space="preserve">Long-term systemic </w:t>
            </w:r>
            <w:r w:rsidRPr="007D70A5">
              <w:t>anti-infective</w:t>
            </w:r>
            <w:r>
              <w:t>s</w:t>
            </w:r>
          </w:p>
        </w:tc>
        <w:tc>
          <w:tcPr>
            <w:tcW w:w="5380" w:type="dxa"/>
          </w:tcPr>
          <w:p w:rsidR="00D0449A" w:rsidRPr="007D70A5" w:rsidRDefault="00D0449A" w:rsidP="00B64C60">
            <w:pPr>
              <w:spacing w:line="480" w:lineRule="auto"/>
            </w:pPr>
            <w:r w:rsidRPr="007D70A5">
              <w:t>Amphotericin B, amphotericin B liposome, ethambutol, flucytosine, isoniazid, itraconazole, posaconazole, rifabutin, rifampin, rifapentine, voriconazole</w:t>
            </w:r>
          </w:p>
        </w:tc>
      </w:tr>
      <w:tr w:rsidR="00D0449A" w:rsidRPr="007D70A5" w:rsidTr="00B64C60">
        <w:tc>
          <w:tcPr>
            <w:tcW w:w="3975" w:type="dxa"/>
          </w:tcPr>
          <w:p w:rsidR="00D0449A" w:rsidRPr="007D70A5" w:rsidRDefault="00D0449A" w:rsidP="00B64C60">
            <w:pPr>
              <w:spacing w:line="480" w:lineRule="auto"/>
            </w:pPr>
            <w:r w:rsidRPr="007D70A5">
              <w:t>Other medications (includes medications for pregnancy, stroke, seizures, erectile dysfunction medications, cystic fibrosis, chronic kidney disease)</w:t>
            </w:r>
          </w:p>
        </w:tc>
        <w:tc>
          <w:tcPr>
            <w:tcW w:w="5380" w:type="dxa"/>
          </w:tcPr>
          <w:p w:rsidR="00D0449A" w:rsidRPr="007D70A5" w:rsidRDefault="00D0449A" w:rsidP="00B64C60">
            <w:pPr>
              <w:spacing w:line="480" w:lineRule="auto"/>
            </w:pPr>
            <w:r w:rsidRPr="007D70A5">
              <w:t>Clopidogrel, darbepoetin alfa, dutasteride, dornase alfa, enoxaparin, epoetin alfa, felbamate,</w:t>
            </w:r>
            <w:r>
              <w:t xml:space="preserve"> </w:t>
            </w:r>
            <w:r w:rsidRPr="004F6A49">
              <w:t xml:space="preserve">hydrochlorothiazide/methyldopa, </w:t>
            </w:r>
            <w:r w:rsidRPr="007D70A5">
              <w:t xml:space="preserve"> lamotrigine, methyldopa, phenytoin, prasugrel, ranolazine, rho(D) immune globulin, rivaroxaban, roflumilast, sildenafil, tadalafil, tiagabine, ticagrelor, tranexamic acid </w:t>
            </w:r>
          </w:p>
          <w:p w:rsidR="00D0449A" w:rsidRPr="007D70A5" w:rsidRDefault="00D0449A" w:rsidP="00B64C60">
            <w:pPr>
              <w:spacing w:line="480" w:lineRule="auto"/>
            </w:pPr>
          </w:p>
          <w:p w:rsidR="00D0449A" w:rsidRPr="007D70A5" w:rsidRDefault="00D0449A" w:rsidP="00B64C60">
            <w:pPr>
              <w:spacing w:line="480" w:lineRule="auto"/>
            </w:pPr>
          </w:p>
          <w:p w:rsidR="00D0449A" w:rsidRPr="007D70A5" w:rsidRDefault="00D0449A" w:rsidP="00B64C60">
            <w:pPr>
              <w:spacing w:line="480" w:lineRule="auto"/>
            </w:pPr>
          </w:p>
          <w:p w:rsidR="00D0449A" w:rsidRPr="007D70A5" w:rsidRDefault="00D0449A" w:rsidP="00B64C60">
            <w:pPr>
              <w:spacing w:line="480" w:lineRule="auto"/>
            </w:pPr>
          </w:p>
        </w:tc>
      </w:tr>
    </w:tbl>
    <w:p w:rsidR="00D0449A" w:rsidRPr="007D70A5" w:rsidRDefault="00D0449A" w:rsidP="00D0449A">
      <w:pPr>
        <w:spacing w:line="480" w:lineRule="auto"/>
      </w:pPr>
      <w:r w:rsidRPr="007D70A5">
        <w:t xml:space="preserve">Note. *only if prescribed within +/- 30days of Index-UTI date. </w:t>
      </w:r>
    </w:p>
    <w:p w:rsidR="00D0449A" w:rsidRPr="007D70A5" w:rsidRDefault="00D0449A" w:rsidP="00D0449A">
      <w:pPr>
        <w:spacing w:line="480" w:lineRule="auto"/>
        <w:rPr>
          <w:rFonts w:cs="Arial"/>
        </w:rPr>
      </w:pPr>
      <w:r w:rsidRPr="00365E59">
        <w:t>Appendix Table 3</w:t>
      </w:r>
      <w:r w:rsidRPr="00365E59">
        <w:rPr>
          <w:rFonts w:cs="Arial"/>
        </w:rPr>
        <w:t>.</w:t>
      </w:r>
      <w:r w:rsidRPr="00AB7D11">
        <w:rPr>
          <w:rFonts w:cs="Arial"/>
        </w:rPr>
        <w:t xml:space="preserve"> </w:t>
      </w:r>
      <w:r w:rsidRPr="00AB7D11">
        <w:t>Codes used to exclude pregnant women from the cohort</w:t>
      </w:r>
    </w:p>
    <w:tbl>
      <w:tblPr>
        <w:tblStyle w:val="TableGrid"/>
        <w:tblW w:w="0" w:type="auto"/>
        <w:tblLook w:val="04A0" w:firstRow="1" w:lastRow="0" w:firstColumn="1" w:lastColumn="0" w:noHBand="0" w:noVBand="1"/>
      </w:tblPr>
      <w:tblGrid>
        <w:gridCol w:w="1998"/>
        <w:gridCol w:w="7578"/>
      </w:tblGrid>
      <w:tr w:rsidR="00D0449A" w:rsidRPr="007D70A5" w:rsidTr="00B64C60">
        <w:tc>
          <w:tcPr>
            <w:tcW w:w="1998" w:type="dxa"/>
          </w:tcPr>
          <w:p w:rsidR="00D0449A" w:rsidRPr="007D70A5" w:rsidRDefault="00D0449A" w:rsidP="00B64C60">
            <w:pPr>
              <w:spacing w:line="480" w:lineRule="auto"/>
              <w:rPr>
                <w:rFonts w:cs="Arial"/>
                <w:b/>
              </w:rPr>
            </w:pPr>
            <w:r w:rsidRPr="007D70A5">
              <w:rPr>
                <w:rFonts w:cs="Arial"/>
                <w:b/>
              </w:rPr>
              <w:t>Codes</w:t>
            </w:r>
          </w:p>
        </w:tc>
        <w:tc>
          <w:tcPr>
            <w:tcW w:w="7578" w:type="dxa"/>
          </w:tcPr>
          <w:p w:rsidR="00D0449A" w:rsidRPr="007D70A5" w:rsidRDefault="00D0449A" w:rsidP="00B64C60">
            <w:pPr>
              <w:spacing w:line="480" w:lineRule="auto"/>
              <w:rPr>
                <w:rFonts w:cs="Arial"/>
                <w:b/>
              </w:rPr>
            </w:pPr>
            <w:r w:rsidRPr="007D70A5">
              <w:rPr>
                <w:rFonts w:cs="Arial"/>
                <w:b/>
              </w:rPr>
              <w:t>ICD-9-CM diagnosis codes</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ICD-9-CM diagnosis codes</w:t>
            </w:r>
          </w:p>
        </w:tc>
        <w:tc>
          <w:tcPr>
            <w:tcW w:w="7578" w:type="dxa"/>
          </w:tcPr>
          <w:p w:rsidR="00D0449A" w:rsidRPr="007D70A5" w:rsidRDefault="00D0449A" w:rsidP="00B64C60">
            <w:pPr>
              <w:spacing w:line="480" w:lineRule="auto"/>
              <w:rPr>
                <w:rFonts w:cs="Arial"/>
              </w:rPr>
            </w:pPr>
            <w:r w:rsidRPr="007D70A5">
              <w:rPr>
                <w:rFonts w:cs="Arial"/>
              </w:rPr>
              <w:t xml:space="preserve">630-679.14, V22.X-V24.X, V27.X, V28.XX, V72.42 </w:t>
            </w:r>
          </w:p>
          <w:p w:rsidR="00D0449A" w:rsidRPr="007D70A5" w:rsidRDefault="00D0449A" w:rsidP="00B64C60">
            <w:pPr>
              <w:spacing w:line="480" w:lineRule="auto"/>
              <w:rPr>
                <w:rFonts w:cs="Arial"/>
              </w:rPr>
            </w:pP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lastRenderedPageBreak/>
              <w:t>ICD-9-CM procedure codes</w:t>
            </w:r>
          </w:p>
        </w:tc>
        <w:tc>
          <w:tcPr>
            <w:tcW w:w="7578" w:type="dxa"/>
          </w:tcPr>
          <w:p w:rsidR="00D0449A" w:rsidRPr="007D70A5" w:rsidRDefault="00D0449A" w:rsidP="00B64C60">
            <w:pPr>
              <w:spacing w:line="480" w:lineRule="auto"/>
              <w:rPr>
                <w:rFonts w:cs="Arial"/>
              </w:rPr>
            </w:pPr>
            <w:r w:rsidRPr="007D70A5">
              <w:rPr>
                <w:rFonts w:cs="Arial"/>
              </w:rPr>
              <w:t>69.01, 69.02, 69.51, 69.52, 72.0-75.99</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CPT codes</w:t>
            </w:r>
          </w:p>
        </w:tc>
        <w:tc>
          <w:tcPr>
            <w:tcW w:w="7578" w:type="dxa"/>
          </w:tcPr>
          <w:p w:rsidR="00D0449A" w:rsidRPr="007D70A5" w:rsidRDefault="00D0449A" w:rsidP="00B64C60">
            <w:pPr>
              <w:spacing w:line="480" w:lineRule="auto"/>
              <w:rPr>
                <w:rFonts w:cs="Arial"/>
              </w:rPr>
            </w:pPr>
            <w:r w:rsidRPr="007D70A5">
              <w:rPr>
                <w:rFonts w:cs="Arial"/>
              </w:rPr>
              <w:t>59000-59899, 36460, 76941, 85460, 85461, 76801-76828, 83030-83033, 83661-83664</w:t>
            </w:r>
          </w:p>
        </w:tc>
      </w:tr>
      <w:tr w:rsidR="00D0449A" w:rsidRPr="007D70A5" w:rsidTr="00B64C60">
        <w:tc>
          <w:tcPr>
            <w:tcW w:w="1998" w:type="dxa"/>
          </w:tcPr>
          <w:p w:rsidR="00D0449A" w:rsidRPr="007D70A5" w:rsidRDefault="00D0449A" w:rsidP="00B64C60">
            <w:pPr>
              <w:spacing w:line="480" w:lineRule="auto"/>
              <w:rPr>
                <w:rFonts w:cs="Arial"/>
              </w:rPr>
            </w:pPr>
            <w:r w:rsidRPr="007D70A5">
              <w:rPr>
                <w:rFonts w:cs="Arial"/>
              </w:rPr>
              <w:t>UB-04 Revenue codes</w:t>
            </w:r>
          </w:p>
        </w:tc>
        <w:tc>
          <w:tcPr>
            <w:tcW w:w="7578" w:type="dxa"/>
          </w:tcPr>
          <w:p w:rsidR="00D0449A" w:rsidRPr="007D70A5" w:rsidRDefault="00D0449A" w:rsidP="00B64C60">
            <w:pPr>
              <w:spacing w:line="480" w:lineRule="auto"/>
              <w:rPr>
                <w:rFonts w:cs="Arial"/>
              </w:rPr>
            </w:pPr>
            <w:r w:rsidRPr="007D70A5">
              <w:rPr>
                <w:rFonts w:cs="Arial"/>
              </w:rPr>
              <w:t>0720-0729</w:t>
            </w:r>
          </w:p>
        </w:tc>
      </w:tr>
    </w:tbl>
    <w:p w:rsidR="00D0449A" w:rsidRPr="007D70A5" w:rsidRDefault="00D0449A" w:rsidP="00D0449A">
      <w:pPr>
        <w:spacing w:line="480" w:lineRule="auto"/>
      </w:pPr>
      <w:r w:rsidRPr="007D70A5">
        <w:t>Note. Any patient with one of the above codes 6 months before or 6 months after the index UTI date were excluded.</w:t>
      </w:r>
    </w:p>
    <w:p w:rsidR="00D0449A" w:rsidRPr="007D70A5" w:rsidRDefault="00D0449A" w:rsidP="00D0449A">
      <w:pPr>
        <w:spacing w:line="480" w:lineRule="auto"/>
        <w:rPr>
          <w:b/>
        </w:rPr>
      </w:pPr>
      <w:r w:rsidRPr="007D70A5">
        <w:rPr>
          <w:b/>
        </w:rPr>
        <w:br w:type="page"/>
      </w:r>
    </w:p>
    <w:p w:rsidR="00D0449A" w:rsidRPr="007D70A5" w:rsidRDefault="00D0449A" w:rsidP="00D0449A">
      <w:pPr>
        <w:spacing w:line="480" w:lineRule="auto"/>
        <w:rPr>
          <w:b/>
        </w:rPr>
      </w:pPr>
      <w:r w:rsidRPr="007D70A5">
        <w:rPr>
          <w:b/>
        </w:rPr>
        <w:lastRenderedPageBreak/>
        <w:t>Appendix materials for interrupted time-series analysis.</w:t>
      </w:r>
    </w:p>
    <w:p w:rsidR="00D0449A" w:rsidRPr="007D70A5" w:rsidRDefault="00D0449A" w:rsidP="00D0449A">
      <w:pPr>
        <w:spacing w:line="480" w:lineRule="auto"/>
        <w:rPr>
          <w:rFonts w:cs="Arial"/>
        </w:rPr>
      </w:pPr>
      <w:r w:rsidRPr="007D70A5">
        <w:rPr>
          <w:rFonts w:cs="Arial"/>
          <w:i/>
        </w:rPr>
        <w:t>Model Specification:</w:t>
      </w:r>
      <w:r w:rsidRPr="007D70A5">
        <w:rPr>
          <w:rFonts w:cs="Arial"/>
        </w:rPr>
        <w:t xml:space="preserve"> We hypothesized that IDSA guidelines would have a downward impact on the trajectory of inappropriate prescribing patterns. It is conceivable that the change in guidelines could result in a downward shift and/or a decreasing slope in the rates of antibiotic prescribing over time. We compared three different model specifications to capture the effect of guidelines on rates of inappropriate prescribing: (15) the guidelines resulted in a downward shift but did not alter the slope, (16) the guidelines changed the instantaneous slope but did not alter the level, and (appendix ref 1) the guidelines resulted in both a shift in level and a change in slope. These three different model specifications can be described by the following equations, respectively:</w:t>
      </w:r>
    </w:p>
    <w:p w:rsidR="00D0449A" w:rsidRPr="007D70A5" w:rsidRDefault="00D0449A" w:rsidP="00D0449A">
      <w:pPr>
        <w:spacing w:line="480" w:lineRule="auto"/>
        <w:rPr>
          <w:rFonts w:cs="Arial"/>
        </w:rPr>
      </w:pPr>
    </w:p>
    <w:p w:rsidR="00D0449A" w:rsidRPr="007D70A5" w:rsidRDefault="00287C7F" w:rsidP="00D0449A">
      <w:pPr>
        <w:spacing w:line="480" w:lineRule="auto"/>
        <w:rPr>
          <w:rFonts w:eastAsiaTheme="minorEastAsia"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0</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1</m:t>
              </m:r>
            </m:sub>
          </m:sSub>
          <m:r>
            <w:rPr>
              <w:rFonts w:ascii="Cambria Math" w:hAnsi="Cambria Math" w:cs="Arial"/>
            </w:rPr>
            <m:t>T+</m:t>
          </m:r>
          <m:sSub>
            <m:sSubPr>
              <m:ctrlPr>
                <w:rPr>
                  <w:rFonts w:ascii="Cambria Math" w:hAnsi="Cambria Math" w:cs="Arial"/>
                  <w:i/>
                </w:rPr>
              </m:ctrlPr>
            </m:sSubPr>
            <m:e>
              <m:r>
                <w:rPr>
                  <w:rFonts w:ascii="Cambria Math" w:hAnsi="Cambria Math" w:cs="Arial"/>
                </w:rPr>
                <m:t>β</m:t>
              </m:r>
            </m:e>
            <m:sub>
              <m:r>
                <w:rPr>
                  <w:rFonts w:ascii="Cambria Math" w:hAnsi="Cambria Math" w:cs="Arial"/>
                </w:rPr>
                <m:t>2</m:t>
              </m:r>
            </m:sub>
          </m:sSub>
          <m:sSub>
            <m:sSubPr>
              <m:ctrlPr>
                <w:rPr>
                  <w:rFonts w:ascii="Cambria Math" w:hAnsi="Cambria Math" w:cs="Arial"/>
                  <w:i/>
                </w:rPr>
              </m:ctrlPr>
            </m:sSubPr>
            <m:e>
              <m:r>
                <w:rPr>
                  <w:rFonts w:ascii="Cambria Math" w:hAnsi="Cambria Math" w:cs="Arial"/>
                </w:rPr>
                <m:t>IDSA</m:t>
              </m:r>
            </m:e>
            <m:sub>
              <m:r>
                <w:rPr>
                  <w:rFonts w:ascii="Cambria Math" w:hAnsi="Cambria Math" w:cs="Arial"/>
                </w:rPr>
                <m:t>t</m:t>
              </m:r>
            </m:sub>
          </m:sSub>
        </m:oMath>
      </m:oMathPara>
    </w:p>
    <w:p w:rsidR="00D0449A" w:rsidRPr="007D70A5" w:rsidRDefault="00D0449A" w:rsidP="00D0449A">
      <w:pPr>
        <w:spacing w:line="480" w:lineRule="auto"/>
        <w:rPr>
          <w:rFonts w:cs="Arial"/>
        </w:rPr>
      </w:pPr>
    </w:p>
    <w:p w:rsidR="00D0449A" w:rsidRPr="007D70A5" w:rsidRDefault="00D0449A" w:rsidP="00D0449A">
      <w:pPr>
        <w:spacing w:line="480" w:lineRule="auto"/>
        <w:rPr>
          <w:rFonts w:cs="Arial"/>
        </w:rPr>
      </w:pPr>
    </w:p>
    <w:p w:rsidR="00D0449A" w:rsidRPr="007D70A5" w:rsidRDefault="00287C7F" w:rsidP="00D0449A">
      <w:pPr>
        <w:spacing w:line="480" w:lineRule="auto"/>
        <w:rPr>
          <w:rFonts w:eastAsiaTheme="minorEastAsia"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0</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1</m:t>
              </m:r>
            </m:sub>
          </m:sSub>
          <m:d>
            <m:dPr>
              <m:ctrlPr>
                <w:rPr>
                  <w:rFonts w:ascii="Cambria Math" w:hAnsi="Cambria Math" w:cs="Arial"/>
                  <w:i/>
                </w:rPr>
              </m:ctrlPr>
            </m:dPr>
            <m:e>
              <m:r>
                <w:rPr>
                  <w:rFonts w:ascii="Cambria Math" w:hAnsi="Cambria Math" w:cs="Arial"/>
                </w:rPr>
                <m:t>T-28</m:t>
              </m:r>
            </m:e>
          </m:d>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2</m:t>
              </m:r>
            </m:sub>
          </m:sSub>
          <m:d>
            <m:dPr>
              <m:ctrlPr>
                <w:rPr>
                  <w:rFonts w:ascii="Cambria Math" w:hAnsi="Cambria Math" w:cs="Arial"/>
                  <w:i/>
                </w:rPr>
              </m:ctrlPr>
            </m:dPr>
            <m:e>
              <m:r>
                <w:rPr>
                  <w:rFonts w:ascii="Cambria Math" w:hAnsi="Cambria Math" w:cs="Arial"/>
                </w:rPr>
                <m:t>T-28</m:t>
              </m:r>
            </m:e>
          </m:d>
          <m:r>
            <w:rPr>
              <w:rFonts w:ascii="Cambria Math" w:hAnsi="Cambria Math" w:cs="Arial"/>
            </w:rPr>
            <m:t>*</m:t>
          </m:r>
          <m:sSub>
            <m:sSubPr>
              <m:ctrlPr>
                <w:rPr>
                  <w:rFonts w:ascii="Cambria Math" w:hAnsi="Cambria Math" w:cs="Arial"/>
                  <w:i/>
                </w:rPr>
              </m:ctrlPr>
            </m:sSubPr>
            <m:e>
              <m:r>
                <w:rPr>
                  <w:rFonts w:ascii="Cambria Math" w:hAnsi="Cambria Math" w:cs="Arial"/>
                </w:rPr>
                <m:t>IDSA</m:t>
              </m:r>
            </m:e>
            <m:sub>
              <m:r>
                <w:rPr>
                  <w:rFonts w:ascii="Cambria Math" w:hAnsi="Cambria Math" w:cs="Arial"/>
                </w:rPr>
                <m:t>t</m:t>
              </m:r>
            </m:sub>
          </m:sSub>
        </m:oMath>
      </m:oMathPara>
    </w:p>
    <w:p w:rsidR="00D0449A" w:rsidRPr="007D70A5" w:rsidRDefault="00D0449A" w:rsidP="00D0449A">
      <w:pPr>
        <w:spacing w:line="480" w:lineRule="auto"/>
        <w:rPr>
          <w:rFonts w:cs="Arial"/>
        </w:rPr>
      </w:pPr>
    </w:p>
    <w:p w:rsidR="00D0449A" w:rsidRPr="007D70A5" w:rsidRDefault="00D0449A" w:rsidP="00D0449A">
      <w:pPr>
        <w:spacing w:line="480" w:lineRule="auto"/>
        <w:rPr>
          <w:rFonts w:cs="Arial"/>
        </w:rPr>
      </w:pPr>
    </w:p>
    <w:p w:rsidR="00D0449A" w:rsidRPr="007D70A5" w:rsidRDefault="00287C7F" w:rsidP="00D0449A">
      <w:pPr>
        <w:spacing w:line="480" w:lineRule="auto"/>
        <w:rPr>
          <w:rFonts w:eastAsiaTheme="minorEastAsia"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0</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1</m:t>
              </m:r>
            </m:sub>
          </m:sSub>
          <m:r>
            <w:rPr>
              <w:rFonts w:ascii="Cambria Math" w:hAnsi="Cambria Math" w:cs="Arial"/>
            </w:rPr>
            <m:t>T+</m:t>
          </m:r>
          <m:sSub>
            <m:sSubPr>
              <m:ctrlPr>
                <w:rPr>
                  <w:rFonts w:ascii="Cambria Math" w:hAnsi="Cambria Math" w:cs="Arial"/>
                  <w:i/>
                </w:rPr>
              </m:ctrlPr>
            </m:sSubPr>
            <m:e>
              <m:r>
                <w:rPr>
                  <w:rFonts w:ascii="Cambria Math" w:hAnsi="Cambria Math" w:cs="Arial"/>
                </w:rPr>
                <m:t>β</m:t>
              </m:r>
            </m:e>
            <m:sub>
              <m:r>
                <w:rPr>
                  <w:rFonts w:ascii="Cambria Math" w:hAnsi="Cambria Math" w:cs="Arial"/>
                </w:rPr>
                <m:t>2</m:t>
              </m:r>
            </m:sub>
          </m:sSub>
          <m:sSub>
            <m:sSubPr>
              <m:ctrlPr>
                <w:rPr>
                  <w:rFonts w:ascii="Cambria Math" w:hAnsi="Cambria Math" w:cs="Arial"/>
                  <w:i/>
                </w:rPr>
              </m:ctrlPr>
            </m:sSubPr>
            <m:e>
              <m:r>
                <w:rPr>
                  <w:rFonts w:ascii="Cambria Math" w:hAnsi="Cambria Math" w:cs="Arial"/>
                </w:rPr>
                <m:t>IDSA</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3</m:t>
              </m:r>
            </m:sub>
          </m:sSub>
          <m:r>
            <w:rPr>
              <w:rFonts w:ascii="Cambria Math" w:hAnsi="Cambria Math" w:cs="Arial"/>
            </w:rPr>
            <m:t>T*</m:t>
          </m:r>
          <m:sSub>
            <m:sSubPr>
              <m:ctrlPr>
                <w:rPr>
                  <w:rFonts w:ascii="Cambria Math" w:hAnsi="Cambria Math" w:cs="Arial"/>
                  <w:i/>
                </w:rPr>
              </m:ctrlPr>
            </m:sSubPr>
            <m:e>
              <m:r>
                <w:rPr>
                  <w:rFonts w:ascii="Cambria Math" w:hAnsi="Cambria Math" w:cs="Arial"/>
                </w:rPr>
                <m:t>IDSA</m:t>
              </m:r>
            </m:e>
            <m:sub>
              <m:r>
                <w:rPr>
                  <w:rFonts w:ascii="Cambria Math" w:hAnsi="Cambria Math" w:cs="Arial"/>
                </w:rPr>
                <m:t>t</m:t>
              </m:r>
            </m:sub>
          </m:sSub>
          <m:r>
            <w:rPr>
              <w:rFonts w:ascii="Cambria Math" w:hAnsi="Cambria Math" w:cs="Arial"/>
            </w:rPr>
            <m:t xml:space="preserve"> </m:t>
          </m:r>
        </m:oMath>
      </m:oMathPara>
    </w:p>
    <w:p w:rsidR="00D0449A" w:rsidRPr="007D70A5" w:rsidRDefault="00D0449A" w:rsidP="00D0449A">
      <w:pPr>
        <w:spacing w:line="480" w:lineRule="auto"/>
        <w:rPr>
          <w:rFonts w:eastAsiaTheme="minorEastAsia" w:cs="Arial"/>
        </w:rPr>
      </w:pPr>
    </w:p>
    <w:p w:rsidR="00D0449A" w:rsidRPr="007D70A5" w:rsidRDefault="00D0449A" w:rsidP="00D0449A">
      <w:pPr>
        <w:spacing w:line="480" w:lineRule="auto"/>
        <w:rPr>
          <w:rFonts w:eastAsiaTheme="minorEastAsia" w:cs="Arial"/>
        </w:rPr>
      </w:pPr>
      <w:r w:rsidRPr="007D70A5">
        <w:rPr>
          <w:rFonts w:eastAsiaTheme="minorEastAsia" w:cs="Arial"/>
        </w:rPr>
        <w:t xml:space="preserve">Where </w:t>
      </w:r>
      <m:oMath>
        <m:sSub>
          <m:sSubPr>
            <m:ctrlPr>
              <w:rPr>
                <w:rFonts w:ascii="Cambria Math" w:hAnsi="Cambria Math" w:cs="Arial"/>
                <w:i/>
              </w:rPr>
            </m:ctrlPr>
          </m:sSubPr>
          <m:e>
            <m:r>
              <w:rPr>
                <w:rFonts w:ascii="Cambria Math" w:hAnsi="Cambria Math" w:cs="Arial"/>
              </w:rPr>
              <m:t>Y</m:t>
            </m:r>
          </m:e>
          <m:sub>
            <m:r>
              <w:rPr>
                <w:rFonts w:ascii="Cambria Math" w:hAnsi="Cambria Math" w:cs="Arial"/>
              </w:rPr>
              <m:t>t</m:t>
            </m:r>
          </m:sub>
        </m:sSub>
      </m:oMath>
      <w:r w:rsidRPr="007D70A5">
        <w:rPr>
          <w:rFonts w:eastAsiaTheme="minorEastAsia" w:cs="Arial"/>
        </w:rPr>
        <w:t xml:space="preserve"> is the rate of inappropriate prescribing (either class or duration) at time t, T is the time (month number) since the start of the study period, </w:t>
      </w:r>
      <m:oMath>
        <m:sSub>
          <m:sSubPr>
            <m:ctrlPr>
              <w:rPr>
                <w:rFonts w:ascii="Cambria Math" w:hAnsi="Cambria Math" w:cs="Arial"/>
                <w:i/>
              </w:rPr>
            </m:ctrlPr>
          </m:sSubPr>
          <m:e>
            <m:r>
              <w:rPr>
                <w:rFonts w:ascii="Cambria Math" w:hAnsi="Cambria Math" w:cs="Arial"/>
              </w:rPr>
              <m:t>IDSA</m:t>
            </m:r>
          </m:e>
          <m:sub>
            <m:r>
              <w:rPr>
                <w:rFonts w:ascii="Cambria Math" w:hAnsi="Cambria Math" w:cs="Arial"/>
              </w:rPr>
              <m:t>t</m:t>
            </m:r>
          </m:sub>
        </m:sSub>
      </m:oMath>
      <w:r w:rsidRPr="007D70A5">
        <w:rPr>
          <w:rFonts w:eastAsiaTheme="minorEastAsia" w:cs="Arial"/>
        </w:rPr>
        <w:t xml:space="preserve"> is an indicator for the change in IDSA guidelines, and </w:t>
      </w:r>
      <m:oMath>
        <m:sSub>
          <m:sSubPr>
            <m:ctrlPr>
              <w:rPr>
                <w:rFonts w:ascii="Cambria Math" w:hAnsi="Cambria Math" w:cs="Arial"/>
                <w:i/>
              </w:rPr>
            </m:ctrlPr>
          </m:sSubPr>
          <m:e>
            <m:r>
              <w:rPr>
                <w:rFonts w:ascii="Cambria Math" w:hAnsi="Cambria Math" w:cs="Arial"/>
              </w:rPr>
              <m:t>β</m:t>
            </m:r>
          </m:e>
          <m:sub>
            <m:r>
              <w:rPr>
                <w:rFonts w:ascii="Cambria Math" w:hAnsi="Cambria Math" w:cs="Arial"/>
              </w:rPr>
              <m:t>0</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2</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3</m:t>
            </m:r>
          </m:sub>
        </m:sSub>
      </m:oMath>
      <w:r w:rsidRPr="007D70A5">
        <w:rPr>
          <w:rFonts w:eastAsiaTheme="minorEastAsia" w:cs="Arial"/>
        </w:rPr>
        <w:t xml:space="preserve"> are parameters to be estimated. Note, in the second model specification </w:t>
      </w:r>
      <m:oMath>
        <m:d>
          <m:dPr>
            <m:ctrlPr>
              <w:rPr>
                <w:rFonts w:ascii="Cambria Math" w:hAnsi="Cambria Math" w:cs="Arial"/>
                <w:i/>
              </w:rPr>
            </m:ctrlPr>
          </m:dPr>
          <m:e>
            <m:r>
              <w:rPr>
                <w:rFonts w:ascii="Cambria Math" w:hAnsi="Cambria Math" w:cs="Arial"/>
              </w:rPr>
              <m:t>T-28</m:t>
            </m:r>
          </m:e>
        </m:d>
      </m:oMath>
      <w:r w:rsidRPr="007D70A5">
        <w:rPr>
          <w:rFonts w:eastAsiaTheme="minorEastAsia" w:cs="Arial"/>
        </w:rPr>
        <w:t xml:space="preserve"> shifts the origin of the model to allow for an instantaneous change in slope, at the point where guidelines take</w:t>
      </w:r>
      <w:r>
        <w:rPr>
          <w:rFonts w:eastAsiaTheme="minorEastAsia" w:cs="Arial"/>
        </w:rPr>
        <w:t xml:space="preserve"> effect, without a level shift.</w:t>
      </w:r>
    </w:p>
    <w:p w:rsidR="00D0449A" w:rsidRPr="007D70A5" w:rsidRDefault="00D0449A" w:rsidP="00D0449A">
      <w:pPr>
        <w:spacing w:line="480" w:lineRule="auto"/>
        <w:rPr>
          <w:rFonts w:eastAsiaTheme="minorEastAsia" w:cs="Arial"/>
        </w:rPr>
      </w:pPr>
      <w:r w:rsidRPr="007D70A5">
        <w:rPr>
          <w:rFonts w:eastAsiaTheme="minorEastAsia" w:cs="Arial"/>
        </w:rPr>
        <w:t xml:space="preserve">In addition to the single change-point analysis described above, we also estimated an interrupted time-series analysis using two change points. As can be seen from </w:t>
      </w:r>
      <w:r w:rsidRPr="00747D13">
        <w:rPr>
          <w:rFonts w:eastAsiaTheme="minorEastAsia" w:cs="Arial"/>
        </w:rPr>
        <w:t>Appendix Figure 1</w:t>
      </w:r>
      <w:r w:rsidRPr="007D70A5">
        <w:rPr>
          <w:rFonts w:eastAsiaTheme="minorEastAsia" w:cs="Arial"/>
        </w:rPr>
        <w:t xml:space="preserve">, there was a V-shaped trend in prescribing before the change in </w:t>
      </w:r>
      <w:r>
        <w:rPr>
          <w:rFonts w:eastAsiaTheme="minorEastAsia" w:cs="Arial"/>
        </w:rPr>
        <w:t>the guideline</w:t>
      </w:r>
      <w:r w:rsidRPr="007D70A5">
        <w:rPr>
          <w:rFonts w:eastAsiaTheme="minorEastAsia" w:cs="Arial"/>
        </w:rPr>
        <w:t>. To account for this alternating trend before the release of the guideline, we set change points at January 2010, when the trend shifted before the guideline release, and at March 2011, when the guideline was made public. To do so, we segmented the study interval into three periods: January 2009-January 2010, February 2010-March 2011, and April 2011-December 2013. We then estimated the following model specification:</w:t>
      </w:r>
    </w:p>
    <w:p w:rsidR="00D0449A" w:rsidRPr="007D70A5" w:rsidRDefault="00D0449A" w:rsidP="00D0449A">
      <w:pPr>
        <w:spacing w:line="480" w:lineRule="auto"/>
        <w:rPr>
          <w:rFonts w:eastAsiaTheme="minorEastAsia" w:cs="Arial"/>
        </w:rPr>
      </w:pPr>
    </w:p>
    <w:p w:rsidR="00D0449A" w:rsidRPr="007D70A5" w:rsidRDefault="00287C7F" w:rsidP="00D0449A">
      <w:pPr>
        <w:spacing w:line="480" w:lineRule="auto"/>
        <w:rPr>
          <w:rFonts w:eastAsiaTheme="minorEastAsia"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0</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1</m:t>
              </m:r>
            </m:sub>
          </m:sSub>
          <m:r>
            <w:rPr>
              <w:rFonts w:ascii="Cambria Math" w:hAnsi="Cambria Math" w:cs="Arial"/>
            </w:rPr>
            <m:t>T+</m:t>
          </m:r>
          <m:sSub>
            <m:sSubPr>
              <m:ctrlPr>
                <w:rPr>
                  <w:rFonts w:ascii="Cambria Math" w:hAnsi="Cambria Math" w:cs="Arial"/>
                  <w:i/>
                </w:rPr>
              </m:ctrlPr>
            </m:sSubPr>
            <m:e>
              <m:r>
                <w:rPr>
                  <w:rFonts w:ascii="Cambria Math" w:hAnsi="Cambria Math" w:cs="Arial"/>
                </w:rPr>
                <m:t>β</m:t>
              </m:r>
            </m:e>
            <m:sub>
              <m:r>
                <w:rPr>
                  <w:rFonts w:ascii="Cambria Math" w:hAnsi="Cambria Math" w:cs="Arial"/>
                </w:rPr>
                <m:t>2</m:t>
              </m:r>
            </m:sub>
          </m:sSub>
          <m:sSub>
            <m:sSubPr>
              <m:ctrlPr>
                <w:rPr>
                  <w:rFonts w:ascii="Cambria Math" w:hAnsi="Cambria Math" w:cs="Arial"/>
                  <w:i/>
                </w:rPr>
              </m:ctrlPr>
            </m:sSubPr>
            <m:e>
              <m:r>
                <w:rPr>
                  <w:rFonts w:ascii="Cambria Math" w:hAnsi="Cambria Math" w:cs="Arial"/>
                </w:rPr>
                <m:t>P2</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3</m:t>
              </m:r>
            </m:sub>
          </m:sSub>
          <m:sSub>
            <m:sSubPr>
              <m:ctrlPr>
                <w:rPr>
                  <w:rFonts w:ascii="Cambria Math" w:hAnsi="Cambria Math" w:cs="Arial"/>
                  <w:i/>
                </w:rPr>
              </m:ctrlPr>
            </m:sSubPr>
            <m:e>
              <m:r>
                <w:rPr>
                  <w:rFonts w:ascii="Cambria Math" w:hAnsi="Cambria Math" w:cs="Arial"/>
                </w:rPr>
                <m:t>P3</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3</m:t>
              </m:r>
            </m:sub>
          </m:sSub>
          <m:r>
            <w:rPr>
              <w:rFonts w:ascii="Cambria Math" w:hAnsi="Cambria Math" w:cs="Arial"/>
            </w:rPr>
            <m:t>T*</m:t>
          </m:r>
          <m:sSub>
            <m:sSubPr>
              <m:ctrlPr>
                <w:rPr>
                  <w:rFonts w:ascii="Cambria Math" w:hAnsi="Cambria Math" w:cs="Arial"/>
                  <w:i/>
                </w:rPr>
              </m:ctrlPr>
            </m:sSubPr>
            <m:e>
              <m:r>
                <w:rPr>
                  <w:rFonts w:ascii="Cambria Math" w:hAnsi="Cambria Math" w:cs="Arial"/>
                </w:rPr>
                <m:t>P2</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4</m:t>
              </m:r>
            </m:sub>
          </m:sSub>
          <m:r>
            <w:rPr>
              <w:rFonts w:ascii="Cambria Math" w:hAnsi="Cambria Math" w:cs="Arial"/>
            </w:rPr>
            <m:t>T*</m:t>
          </m:r>
          <m:sSub>
            <m:sSubPr>
              <m:ctrlPr>
                <w:rPr>
                  <w:rFonts w:ascii="Cambria Math" w:hAnsi="Cambria Math" w:cs="Arial"/>
                  <w:i/>
                </w:rPr>
              </m:ctrlPr>
            </m:sSubPr>
            <m:e>
              <m:r>
                <w:rPr>
                  <w:rFonts w:ascii="Cambria Math" w:hAnsi="Cambria Math" w:cs="Arial"/>
                </w:rPr>
                <m:t>P3</m:t>
              </m:r>
            </m:e>
            <m:sub>
              <m:r>
                <w:rPr>
                  <w:rFonts w:ascii="Cambria Math" w:hAnsi="Cambria Math" w:cs="Arial"/>
                </w:rPr>
                <m:t>t</m:t>
              </m:r>
            </m:sub>
          </m:sSub>
          <m:r>
            <w:rPr>
              <w:rFonts w:ascii="Cambria Math" w:hAnsi="Cambria Math" w:cs="Arial"/>
            </w:rPr>
            <m:t xml:space="preserve"> </m:t>
          </m:r>
        </m:oMath>
      </m:oMathPara>
    </w:p>
    <w:p w:rsidR="00D0449A" w:rsidRPr="007D70A5" w:rsidRDefault="00D0449A" w:rsidP="00D0449A">
      <w:pPr>
        <w:spacing w:line="480" w:lineRule="auto"/>
        <w:rPr>
          <w:rFonts w:eastAsiaTheme="minorEastAsia" w:cs="Arial"/>
        </w:rPr>
      </w:pPr>
    </w:p>
    <w:p w:rsidR="00D0449A" w:rsidRPr="007D70A5" w:rsidRDefault="00D0449A" w:rsidP="00D0449A">
      <w:pPr>
        <w:spacing w:line="480" w:lineRule="auto"/>
        <w:rPr>
          <w:rFonts w:eastAsiaTheme="minorEastAsia" w:cs="Arial"/>
        </w:rPr>
      </w:pPr>
      <w:r w:rsidRPr="007D70A5">
        <w:rPr>
          <w:rFonts w:eastAsiaTheme="minorEastAsia" w:cs="Arial"/>
        </w:rPr>
        <w:t xml:space="preserve">Where </w:t>
      </w:r>
      <m:oMath>
        <m:sSub>
          <m:sSubPr>
            <m:ctrlPr>
              <w:rPr>
                <w:rFonts w:ascii="Cambria Math" w:hAnsi="Cambria Math" w:cs="Arial"/>
                <w:i/>
              </w:rPr>
            </m:ctrlPr>
          </m:sSubPr>
          <m:e>
            <m:r>
              <w:rPr>
                <w:rFonts w:ascii="Cambria Math" w:hAnsi="Cambria Math" w:cs="Arial"/>
              </w:rPr>
              <m:t>P2</m:t>
            </m:r>
          </m:e>
          <m:sub>
            <m:r>
              <w:rPr>
                <w:rFonts w:ascii="Cambria Math" w:hAnsi="Cambria Math" w:cs="Arial"/>
              </w:rPr>
              <m:t>t</m:t>
            </m:r>
          </m:sub>
        </m:sSub>
      </m:oMath>
      <w:r w:rsidRPr="007D70A5">
        <w:rPr>
          <w:rFonts w:eastAsiaTheme="minorEastAsia" w:cs="Arial"/>
        </w:rPr>
        <w:t xml:space="preserve"> and </w:t>
      </w:r>
      <m:oMath>
        <m:sSub>
          <m:sSubPr>
            <m:ctrlPr>
              <w:rPr>
                <w:rFonts w:ascii="Cambria Math" w:hAnsi="Cambria Math" w:cs="Arial"/>
                <w:i/>
              </w:rPr>
            </m:ctrlPr>
          </m:sSubPr>
          <m:e>
            <m:r>
              <w:rPr>
                <w:rFonts w:ascii="Cambria Math" w:hAnsi="Cambria Math" w:cs="Arial"/>
              </w:rPr>
              <m:t>P3</m:t>
            </m:r>
          </m:e>
          <m:sub>
            <m:r>
              <w:rPr>
                <w:rFonts w:ascii="Cambria Math" w:hAnsi="Cambria Math" w:cs="Arial"/>
              </w:rPr>
              <m:t>t</m:t>
            </m:r>
          </m:sub>
        </m:sSub>
      </m:oMath>
      <w:r w:rsidRPr="007D70A5">
        <w:rPr>
          <w:rFonts w:eastAsiaTheme="minorEastAsia" w:cs="Arial"/>
        </w:rPr>
        <w:t xml:space="preserve"> are indicators for the second and third periods, respectively. Note, that period 3 is the time after the release of the IDSA guideline. We refer to this model, b</w:t>
      </w:r>
      <w:r>
        <w:rPr>
          <w:rFonts w:eastAsiaTheme="minorEastAsia" w:cs="Arial"/>
        </w:rPr>
        <w:t>elow, as Model specification 4.</w:t>
      </w:r>
    </w:p>
    <w:p w:rsidR="00D0449A" w:rsidRPr="00747D13" w:rsidRDefault="00D0449A" w:rsidP="00D0449A">
      <w:pPr>
        <w:spacing w:line="480" w:lineRule="auto"/>
        <w:rPr>
          <w:rFonts w:eastAsiaTheme="minorEastAsia" w:cs="Arial"/>
        </w:rPr>
      </w:pPr>
      <w:r w:rsidRPr="007D70A5">
        <w:rPr>
          <w:rFonts w:eastAsiaTheme="minorEastAsia" w:cs="Arial"/>
        </w:rPr>
        <w:t xml:space="preserve">In addition to fitting a linear time-series model with two change points, we also considered a nonparametric local polynomial Regression Discontinuity (RD) analysis using robust bias-corrected confidence intervals. This approach was developed by Calonico, Cattaneo, and Titunik (2014) and additional model details have been described in subsequent work. </w:t>
      </w:r>
      <w:r>
        <w:rPr>
          <w:rFonts w:eastAsiaTheme="minorEastAsia" w:cs="Arial"/>
        </w:rPr>
        <w:t>(</w:t>
      </w:r>
      <w:r w:rsidRPr="00365E59">
        <w:rPr>
          <w:rFonts w:eastAsiaTheme="minorEastAsia" w:cs="Arial"/>
        </w:rPr>
        <w:t>Appendix Figure 2</w:t>
      </w:r>
      <w:r>
        <w:rPr>
          <w:rFonts w:eastAsiaTheme="minorEastAsia" w:cs="Arial"/>
        </w:rPr>
        <w:t xml:space="preserve"> and</w:t>
      </w:r>
      <w:r w:rsidRPr="007D70A5">
        <w:rPr>
          <w:rFonts w:eastAsiaTheme="minorEastAsia" w:cs="Arial"/>
        </w:rPr>
        <w:t xml:space="preserve"> </w:t>
      </w:r>
      <w:r>
        <w:rPr>
          <w:rFonts w:eastAsiaTheme="minorEastAsia" w:cs="Arial"/>
        </w:rPr>
        <w:t>A</w:t>
      </w:r>
      <w:r w:rsidRPr="007D70A5">
        <w:rPr>
          <w:rFonts w:eastAsiaTheme="minorEastAsia" w:cs="Arial"/>
        </w:rPr>
        <w:t xml:space="preserve">ppendix </w:t>
      </w:r>
      <w:r>
        <w:rPr>
          <w:rFonts w:eastAsiaTheme="minorEastAsia" w:cs="Arial"/>
        </w:rPr>
        <w:t>R</w:t>
      </w:r>
      <w:r w:rsidRPr="007D70A5">
        <w:rPr>
          <w:rFonts w:eastAsiaTheme="minorEastAsia" w:cs="Arial"/>
        </w:rPr>
        <w:t xml:space="preserve">eferences 1,2). The RD analysis allows us to estimate the instantaneous change that occurred when guidelines were changed, while accounting for the possible non-linear relationship observed in the </w:t>
      </w:r>
      <w:r w:rsidRPr="007D70A5">
        <w:rPr>
          <w:rFonts w:eastAsiaTheme="minorEastAsia" w:cs="Arial"/>
        </w:rPr>
        <w:lastRenderedPageBreak/>
        <w:t xml:space="preserve">period before the guidelines changed. We used the </w:t>
      </w:r>
      <w:r w:rsidRPr="007D70A5">
        <w:rPr>
          <w:rFonts w:eastAsiaTheme="minorEastAsia" w:cs="Arial"/>
          <w:i/>
        </w:rPr>
        <w:t>rdrobust</w:t>
      </w:r>
      <w:r w:rsidRPr="007D70A5">
        <w:rPr>
          <w:rFonts w:eastAsiaTheme="minorEastAsia" w:cs="Arial"/>
        </w:rPr>
        <w:t xml:space="preserve"> package in R to imple</w:t>
      </w:r>
      <w:r>
        <w:rPr>
          <w:rFonts w:eastAsiaTheme="minorEastAsia" w:cs="Arial"/>
        </w:rPr>
        <w:t>ment this method (A</w:t>
      </w:r>
      <w:r w:rsidRPr="007D70A5">
        <w:rPr>
          <w:rFonts w:eastAsiaTheme="minorEastAsia" w:cs="Arial"/>
        </w:rPr>
        <w:t xml:space="preserve">ppendix </w:t>
      </w:r>
      <w:r>
        <w:rPr>
          <w:rFonts w:eastAsiaTheme="minorEastAsia" w:cs="Arial"/>
        </w:rPr>
        <w:t>R</w:t>
      </w:r>
      <w:r w:rsidRPr="007D70A5">
        <w:rPr>
          <w:rFonts w:eastAsiaTheme="minorEastAsia" w:cs="Arial"/>
        </w:rPr>
        <w:t>eference 3</w:t>
      </w:r>
      <w:r>
        <w:rPr>
          <w:rFonts w:eastAsiaTheme="minorEastAsia" w:cs="Arial"/>
        </w:rPr>
        <w:t>).</w:t>
      </w:r>
    </w:p>
    <w:p w:rsidR="00D0449A" w:rsidRDefault="00D0449A" w:rsidP="00D0449A">
      <w:pPr>
        <w:spacing w:line="480" w:lineRule="auto"/>
        <w:rPr>
          <w:rFonts w:cs="Arial"/>
        </w:rPr>
      </w:pPr>
      <w:r w:rsidRPr="007D70A5">
        <w:rPr>
          <w:rFonts w:cs="Arial"/>
          <w:i/>
        </w:rPr>
        <w:t>Results:</w:t>
      </w:r>
      <w:r w:rsidRPr="007D70A5">
        <w:rPr>
          <w:rFonts w:cs="Arial"/>
        </w:rPr>
        <w:t xml:space="preserve"> </w:t>
      </w:r>
      <w:r w:rsidRPr="00747D13">
        <w:rPr>
          <w:rFonts w:cs="Arial"/>
        </w:rPr>
        <w:t xml:space="preserve">Appendix Table </w:t>
      </w:r>
      <w:r>
        <w:rPr>
          <w:rFonts w:cs="Arial"/>
        </w:rPr>
        <w:t>4</w:t>
      </w:r>
      <w:r w:rsidRPr="007D70A5">
        <w:rPr>
          <w:rFonts w:cs="Arial"/>
        </w:rPr>
        <w:t xml:space="preserve"> presents regression results for the models estimating the rate of prescribing for the inappropriate class of antibiotics. </w:t>
      </w:r>
      <w:r w:rsidRPr="00747D13">
        <w:rPr>
          <w:rFonts w:cs="Arial"/>
        </w:rPr>
        <w:t>Appendix Table 4</w:t>
      </w:r>
      <w:r w:rsidRPr="007D70A5">
        <w:rPr>
          <w:rFonts w:cs="Arial"/>
        </w:rPr>
        <w:t xml:space="preserve"> also presents regression results for the interrupted time-series model using two different change points </w:t>
      </w:r>
      <w:r w:rsidRPr="00747D13">
        <w:rPr>
          <w:rFonts w:cs="Arial"/>
        </w:rPr>
        <w:t>(Model 4</w:t>
      </w:r>
      <w:r w:rsidRPr="007D70A5">
        <w:rPr>
          <w:rFonts w:cs="Arial"/>
        </w:rPr>
        <w:t xml:space="preserve">). </w:t>
      </w:r>
      <w:r w:rsidRPr="00747D13">
        <w:rPr>
          <w:rFonts w:cs="Arial"/>
        </w:rPr>
        <w:t xml:space="preserve">Appendix Figure </w:t>
      </w:r>
      <w:r>
        <w:rPr>
          <w:rFonts w:cs="Arial"/>
        </w:rPr>
        <w:t>1</w:t>
      </w:r>
      <w:r w:rsidRPr="007D70A5">
        <w:rPr>
          <w:rFonts w:cs="Arial"/>
        </w:rPr>
        <w:t xml:space="preserve"> depicts each of the four regression models. Although, guidelines had statistically significant effect estimates in Models 1-3, the coefficient estimates varied between models. Moreover, model 4 exhibited a much better fit than models 1-3 based on the adjusted R</w:t>
      </w:r>
      <w:r w:rsidRPr="007D70A5">
        <w:rPr>
          <w:rFonts w:cs="Arial"/>
          <w:vertAlign w:val="superscript"/>
        </w:rPr>
        <w:t>2</w:t>
      </w:r>
      <w:r w:rsidRPr="007D70A5">
        <w:rPr>
          <w:rFonts w:cs="Arial"/>
        </w:rPr>
        <w:t xml:space="preserve"> and AIC (with lower values indicating better model fit). In model 4, the time trend and level of inappropriate prescribing was not significantly different between period one (i.e., before the release of the IDSA guideline changed) and period three (i.e. after guideline release).</w:t>
      </w:r>
    </w:p>
    <w:p w:rsidR="00D0449A" w:rsidRPr="007D70A5" w:rsidRDefault="00D0449A" w:rsidP="00D0449A">
      <w:pPr>
        <w:spacing w:line="480" w:lineRule="auto"/>
        <w:rPr>
          <w:rFonts w:cs="Arial"/>
        </w:rPr>
      </w:pPr>
      <w:r w:rsidRPr="007D70A5">
        <w:rPr>
          <w:rFonts w:cs="Arial"/>
        </w:rPr>
        <w:t xml:space="preserve">We also used RD analysis to evaluate the instantaneous change in rates of inappropriate prescribing after the release of the guideline. </w:t>
      </w:r>
      <w:r w:rsidRPr="00365E59">
        <w:rPr>
          <w:rFonts w:cs="Arial"/>
        </w:rPr>
        <w:t>Appendix Figure 1</w:t>
      </w:r>
      <w:r w:rsidRPr="007D70A5">
        <w:rPr>
          <w:rFonts w:cs="Arial"/>
        </w:rPr>
        <w:t xml:space="preserve"> depicts the results of the RD analysis. As described in the paper, there appears to be a U-shaped pattern before the change in guidelines, followed by a downward trend after the release of the guideline. This pattern was also captured by the RD analysis. The estimated instantaneous change in inappropriate prescribing rates was a decrease of 1.433 points, with a 95% C.I. of [-2.510, 0.053]. Thus, the instantaneous change was</w:t>
      </w:r>
      <w:r>
        <w:rPr>
          <w:rFonts w:cs="Arial"/>
        </w:rPr>
        <w:t xml:space="preserve"> not statistically significant.</w:t>
      </w:r>
    </w:p>
    <w:p w:rsidR="00D0449A" w:rsidRPr="007D70A5" w:rsidRDefault="00D0449A" w:rsidP="00D0449A">
      <w:pPr>
        <w:spacing w:line="480" w:lineRule="auto"/>
        <w:rPr>
          <w:rFonts w:cs="Arial"/>
        </w:rPr>
      </w:pPr>
      <w:r w:rsidRPr="00747D13">
        <w:rPr>
          <w:rFonts w:cs="Arial"/>
        </w:rPr>
        <w:t>Appendix Table 5</w:t>
      </w:r>
      <w:r w:rsidRPr="007D70A5">
        <w:rPr>
          <w:rFonts w:cs="Arial"/>
        </w:rPr>
        <w:t xml:space="preserve"> presents the results of the three different model specifications for the interrupted time-series analysis corresponding to the rate of inappropriate antibiotic prescribing based on duration. </w:t>
      </w:r>
      <w:r w:rsidRPr="006A53E4">
        <w:rPr>
          <w:rFonts w:cs="Arial"/>
        </w:rPr>
        <w:t xml:space="preserve">Appendix Figure </w:t>
      </w:r>
      <w:r>
        <w:rPr>
          <w:rFonts w:cs="Arial"/>
        </w:rPr>
        <w:t>3</w:t>
      </w:r>
      <w:r w:rsidRPr="007D70A5">
        <w:rPr>
          <w:rFonts w:cs="Arial"/>
        </w:rPr>
        <w:t xml:space="preserve"> depicts each of the three regression models. Both the R</w:t>
      </w:r>
      <w:r w:rsidRPr="007D70A5">
        <w:rPr>
          <w:rFonts w:cs="Arial"/>
          <w:vertAlign w:val="superscript"/>
        </w:rPr>
        <w:t>2</w:t>
      </w:r>
      <w:r w:rsidRPr="007D70A5">
        <w:rPr>
          <w:rFonts w:cs="Arial"/>
        </w:rPr>
        <w:t xml:space="preserve"> and AIC values suggest that the second model was the preferred specification (i.e., with the best model having the highest adjusted R</w:t>
      </w:r>
      <w:r w:rsidRPr="007D70A5">
        <w:rPr>
          <w:rFonts w:cs="Arial"/>
          <w:vertAlign w:val="superscript"/>
        </w:rPr>
        <w:t>2</w:t>
      </w:r>
      <w:r w:rsidRPr="007D70A5">
        <w:rPr>
          <w:rFonts w:cs="Arial"/>
        </w:rPr>
        <w:t xml:space="preserve"> and minimum AIC value). Moreover, the coefficients in the second and third models were nearly identical, while the coefficient on the IDSA guideline indicator in model 3 was not significantly different </w:t>
      </w:r>
      <w:r w:rsidRPr="007D70A5">
        <w:rPr>
          <w:rFonts w:cs="Arial"/>
        </w:rPr>
        <w:lastRenderedPageBreak/>
        <w:t>from zero. Therefore, it appears that guidelines had the effect of slightly decreasing the slope in the rate of inappropriate prescribing.</w:t>
      </w:r>
    </w:p>
    <w:p w:rsidR="00D0449A" w:rsidRDefault="00D0449A" w:rsidP="00D0449A">
      <w:pPr>
        <w:spacing w:line="480" w:lineRule="auto"/>
        <w:rPr>
          <w:rFonts w:cs="Arial"/>
        </w:rPr>
      </w:pPr>
    </w:p>
    <w:p w:rsidR="00D0449A" w:rsidRPr="007D70A5" w:rsidRDefault="00D0449A" w:rsidP="00D0449A">
      <w:pPr>
        <w:spacing w:line="480" w:lineRule="auto"/>
        <w:rPr>
          <w:rFonts w:cs="Arial"/>
        </w:rPr>
      </w:pPr>
    </w:p>
    <w:p w:rsidR="00D0449A" w:rsidRPr="007D70A5" w:rsidRDefault="00D0449A" w:rsidP="00D0449A">
      <w:pPr>
        <w:spacing w:line="480" w:lineRule="auto"/>
        <w:rPr>
          <w:rFonts w:cs="Arial"/>
        </w:rPr>
      </w:pPr>
      <w:r w:rsidRPr="00365E59">
        <w:rPr>
          <w:rFonts w:cs="Arial"/>
          <w:b/>
        </w:rPr>
        <w:t>Appendix Table 4:</w:t>
      </w:r>
      <w:r w:rsidRPr="00AB7D11">
        <w:rPr>
          <w:rFonts w:cs="Arial"/>
        </w:rPr>
        <w:t xml:space="preserve"> Regression results for interrupted time-series analysis of prescribing inappropriate class</w:t>
      </w:r>
      <w:r>
        <w:rPr>
          <w:rFonts w:cs="Aria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870"/>
        <w:gridCol w:w="1870"/>
        <w:gridCol w:w="1870"/>
        <w:gridCol w:w="1870"/>
      </w:tblGrid>
      <w:tr w:rsidR="00D0449A" w:rsidRPr="007D70A5" w:rsidTr="00B64C60">
        <w:tc>
          <w:tcPr>
            <w:tcW w:w="1870" w:type="dxa"/>
            <w:tcBorders>
              <w:top w:val="single" w:sz="12" w:space="0" w:color="auto"/>
            </w:tcBorders>
          </w:tcPr>
          <w:p w:rsidR="00D0449A" w:rsidRPr="007D70A5" w:rsidRDefault="00D0449A" w:rsidP="00B64C60">
            <w:pPr>
              <w:spacing w:line="480" w:lineRule="auto"/>
              <w:rPr>
                <w:rFonts w:cs="Arial"/>
              </w:rPr>
            </w:pPr>
          </w:p>
        </w:tc>
        <w:tc>
          <w:tcPr>
            <w:tcW w:w="7480" w:type="dxa"/>
            <w:gridSpan w:val="4"/>
            <w:tcBorders>
              <w:top w:val="single" w:sz="12" w:space="0" w:color="auto"/>
            </w:tcBorders>
          </w:tcPr>
          <w:p w:rsidR="00D0449A" w:rsidRPr="007D70A5" w:rsidRDefault="00D0449A" w:rsidP="00B64C60">
            <w:pPr>
              <w:spacing w:line="480" w:lineRule="auto"/>
              <w:jc w:val="center"/>
              <w:rPr>
                <w:rFonts w:cs="Arial"/>
                <w:b/>
              </w:rPr>
            </w:pPr>
            <w:r w:rsidRPr="007D70A5">
              <w:rPr>
                <w:rFonts w:cs="Arial"/>
                <w:b/>
              </w:rPr>
              <w:t>Coefficient Estimates (95% C.I.)</w:t>
            </w:r>
          </w:p>
        </w:tc>
      </w:tr>
      <w:tr w:rsidR="00D0449A" w:rsidRPr="007D70A5" w:rsidTr="00B64C60">
        <w:tc>
          <w:tcPr>
            <w:tcW w:w="1870" w:type="dxa"/>
            <w:tcBorders>
              <w:bottom w:val="single" w:sz="4" w:space="0" w:color="auto"/>
            </w:tcBorders>
          </w:tcPr>
          <w:p w:rsidR="00D0449A" w:rsidRPr="007D70A5" w:rsidRDefault="00D0449A" w:rsidP="00B64C60">
            <w:pPr>
              <w:spacing w:line="480" w:lineRule="auto"/>
              <w:rPr>
                <w:rFonts w:cs="Arial"/>
              </w:rPr>
            </w:pPr>
          </w:p>
        </w:tc>
        <w:tc>
          <w:tcPr>
            <w:tcW w:w="1870" w:type="dxa"/>
            <w:tcBorders>
              <w:bottom w:val="single" w:sz="4" w:space="0" w:color="auto"/>
            </w:tcBorders>
          </w:tcPr>
          <w:p w:rsidR="00D0449A" w:rsidRPr="007D70A5" w:rsidRDefault="00D0449A" w:rsidP="00B64C60">
            <w:pPr>
              <w:spacing w:line="480" w:lineRule="auto"/>
              <w:jc w:val="center"/>
              <w:rPr>
                <w:rFonts w:cs="Arial"/>
                <w:b/>
              </w:rPr>
            </w:pPr>
            <w:r w:rsidRPr="007D70A5">
              <w:rPr>
                <w:rFonts w:cs="Arial"/>
                <w:b/>
              </w:rPr>
              <w:t>Model 1</w:t>
            </w:r>
          </w:p>
        </w:tc>
        <w:tc>
          <w:tcPr>
            <w:tcW w:w="1870" w:type="dxa"/>
            <w:tcBorders>
              <w:bottom w:val="single" w:sz="4" w:space="0" w:color="auto"/>
            </w:tcBorders>
          </w:tcPr>
          <w:p w:rsidR="00D0449A" w:rsidRPr="007D70A5" w:rsidRDefault="00D0449A" w:rsidP="00B64C60">
            <w:pPr>
              <w:spacing w:line="480" w:lineRule="auto"/>
              <w:jc w:val="center"/>
              <w:rPr>
                <w:rFonts w:cs="Arial"/>
                <w:b/>
              </w:rPr>
            </w:pPr>
            <w:r w:rsidRPr="007D70A5">
              <w:rPr>
                <w:rFonts w:cs="Arial"/>
                <w:b/>
              </w:rPr>
              <w:t>Model 2</w:t>
            </w:r>
          </w:p>
        </w:tc>
        <w:tc>
          <w:tcPr>
            <w:tcW w:w="1870" w:type="dxa"/>
            <w:tcBorders>
              <w:bottom w:val="single" w:sz="4" w:space="0" w:color="auto"/>
            </w:tcBorders>
          </w:tcPr>
          <w:p w:rsidR="00D0449A" w:rsidRPr="007D70A5" w:rsidRDefault="00D0449A" w:rsidP="00B64C60">
            <w:pPr>
              <w:spacing w:line="480" w:lineRule="auto"/>
              <w:jc w:val="center"/>
              <w:rPr>
                <w:rFonts w:cs="Arial"/>
                <w:b/>
              </w:rPr>
            </w:pPr>
            <w:r w:rsidRPr="007D70A5">
              <w:rPr>
                <w:rFonts w:cs="Arial"/>
                <w:b/>
              </w:rPr>
              <w:t>Model 3</w:t>
            </w:r>
          </w:p>
        </w:tc>
        <w:tc>
          <w:tcPr>
            <w:tcW w:w="1870" w:type="dxa"/>
            <w:tcBorders>
              <w:bottom w:val="single" w:sz="4" w:space="0" w:color="auto"/>
            </w:tcBorders>
          </w:tcPr>
          <w:p w:rsidR="00D0449A" w:rsidRPr="007D70A5" w:rsidRDefault="00D0449A" w:rsidP="00B64C60">
            <w:pPr>
              <w:spacing w:line="480" w:lineRule="auto"/>
              <w:jc w:val="center"/>
              <w:rPr>
                <w:rFonts w:cs="Arial"/>
                <w:b/>
              </w:rPr>
            </w:pPr>
            <w:r w:rsidRPr="007D70A5">
              <w:rPr>
                <w:rFonts w:cs="Arial"/>
                <w:b/>
              </w:rPr>
              <w:t>Model 4</w:t>
            </w:r>
          </w:p>
        </w:tc>
      </w:tr>
      <w:tr w:rsidR="00D0449A" w:rsidRPr="007D70A5" w:rsidTr="00B64C60">
        <w:tc>
          <w:tcPr>
            <w:tcW w:w="1870" w:type="dxa"/>
            <w:tcBorders>
              <w:top w:val="single" w:sz="4" w:space="0" w:color="auto"/>
            </w:tcBorders>
          </w:tcPr>
          <w:p w:rsidR="00D0449A" w:rsidRPr="007D70A5" w:rsidRDefault="00D0449A" w:rsidP="00B64C60">
            <w:pPr>
              <w:spacing w:line="480" w:lineRule="auto"/>
              <w:rPr>
                <w:rFonts w:cs="Arial"/>
              </w:rPr>
            </w:pPr>
            <w:r w:rsidRPr="007D70A5">
              <w:rPr>
                <w:rFonts w:cs="Arial"/>
              </w:rPr>
              <w:t>Intercept</w:t>
            </w:r>
          </w:p>
        </w:tc>
        <w:tc>
          <w:tcPr>
            <w:tcW w:w="1870"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50.353</w:t>
            </w:r>
            <w:r>
              <w:rPr>
                <w:rFonts w:ascii="Arial" w:hAnsi="Arial" w:cs="Arial"/>
                <w:color w:val="404040"/>
                <w:sz w:val="21"/>
                <w:szCs w:val="21"/>
              </w:rPr>
              <w:t>*</w:t>
            </w:r>
            <w:r w:rsidRPr="007D70A5">
              <w:rPr>
                <w:rFonts w:cs="Arial"/>
              </w:rPr>
              <w:t xml:space="preserve"> </w:t>
            </w:r>
          </w:p>
          <w:p w:rsidR="00D0449A" w:rsidRPr="007D70A5" w:rsidRDefault="00D0449A" w:rsidP="00B64C60">
            <w:pPr>
              <w:spacing w:line="480" w:lineRule="auto"/>
              <w:jc w:val="center"/>
              <w:rPr>
                <w:rFonts w:cs="Arial"/>
              </w:rPr>
            </w:pPr>
            <w:r w:rsidRPr="007D70A5">
              <w:rPr>
                <w:rFonts w:cs="Arial"/>
              </w:rPr>
              <w:t>(49.770,50.936)</w:t>
            </w:r>
          </w:p>
        </w:tc>
        <w:tc>
          <w:tcPr>
            <w:tcW w:w="1870" w:type="dxa"/>
            <w:tcBorders>
              <w:top w:val="single" w:sz="4" w:space="0" w:color="auto"/>
            </w:tcBorders>
          </w:tcPr>
          <w:p w:rsidR="00D0449A" w:rsidRDefault="00D0449A" w:rsidP="00B64C60">
            <w:pPr>
              <w:spacing w:line="480" w:lineRule="auto"/>
              <w:jc w:val="center"/>
              <w:rPr>
                <w:rFonts w:cs="Arial"/>
              </w:rPr>
            </w:pPr>
            <w:r w:rsidRPr="007D70A5">
              <w:rPr>
                <w:rFonts w:cs="Arial"/>
              </w:rPr>
              <w:t>49.659</w:t>
            </w:r>
            <w:r>
              <w:rPr>
                <w:rFonts w:ascii="Arial" w:hAnsi="Arial" w:cs="Arial"/>
                <w:color w:val="404040"/>
                <w:sz w:val="21"/>
                <w:szCs w:val="21"/>
              </w:rPr>
              <w:t>*</w:t>
            </w:r>
          </w:p>
          <w:p w:rsidR="00D0449A" w:rsidRPr="007D70A5" w:rsidRDefault="00D0449A" w:rsidP="00B64C60">
            <w:pPr>
              <w:spacing w:line="480" w:lineRule="auto"/>
              <w:jc w:val="center"/>
              <w:rPr>
                <w:rFonts w:cs="Arial"/>
              </w:rPr>
            </w:pPr>
            <w:r w:rsidRPr="007D70A5">
              <w:rPr>
                <w:rFonts w:cs="Arial"/>
              </w:rPr>
              <w:t>(49.112, 50.206)</w:t>
            </w:r>
          </w:p>
        </w:tc>
        <w:tc>
          <w:tcPr>
            <w:tcW w:w="1870"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49.362</w:t>
            </w:r>
            <w:r>
              <w:rPr>
                <w:rFonts w:ascii="Arial" w:hAnsi="Arial" w:cs="Arial"/>
                <w:color w:val="404040"/>
                <w:sz w:val="21"/>
                <w:szCs w:val="21"/>
              </w:rPr>
              <w:t>*</w:t>
            </w:r>
          </w:p>
          <w:p w:rsidR="00D0449A" w:rsidRPr="007D70A5" w:rsidRDefault="00D0449A" w:rsidP="00B64C60">
            <w:pPr>
              <w:spacing w:line="480" w:lineRule="auto"/>
              <w:jc w:val="center"/>
              <w:rPr>
                <w:rFonts w:cs="Arial"/>
              </w:rPr>
            </w:pPr>
            <w:r w:rsidRPr="007D70A5">
              <w:rPr>
                <w:rFonts w:cs="Arial"/>
              </w:rPr>
              <w:t>(48.701, 50.022)</w:t>
            </w:r>
          </w:p>
        </w:tc>
        <w:tc>
          <w:tcPr>
            <w:tcW w:w="1870"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50.374</w:t>
            </w:r>
            <w:r>
              <w:rPr>
                <w:rFonts w:ascii="Arial" w:hAnsi="Arial" w:cs="Arial"/>
                <w:color w:val="404040"/>
                <w:sz w:val="21"/>
                <w:szCs w:val="21"/>
              </w:rPr>
              <w:t>*</w:t>
            </w:r>
          </w:p>
          <w:p w:rsidR="00D0449A" w:rsidRPr="007D70A5" w:rsidRDefault="00D0449A" w:rsidP="00B64C60">
            <w:pPr>
              <w:spacing w:line="480" w:lineRule="auto"/>
              <w:jc w:val="center"/>
              <w:rPr>
                <w:rFonts w:cs="Arial"/>
              </w:rPr>
            </w:pPr>
            <w:r w:rsidRPr="007D70A5">
              <w:rPr>
                <w:rFonts w:cs="Arial"/>
              </w:rPr>
              <w:t>(49.792, 50.955)</w:t>
            </w:r>
          </w:p>
        </w:tc>
      </w:tr>
      <w:tr w:rsidR="00D0449A" w:rsidRPr="007D70A5" w:rsidTr="00B64C60">
        <w:tc>
          <w:tcPr>
            <w:tcW w:w="1870" w:type="dxa"/>
          </w:tcPr>
          <w:p w:rsidR="00D0449A" w:rsidRPr="007D70A5" w:rsidRDefault="00D0449A" w:rsidP="00B64C60">
            <w:pPr>
              <w:spacing w:line="480" w:lineRule="auto"/>
              <w:rPr>
                <w:rFonts w:cs="Arial"/>
                <w:vertAlign w:val="superscript"/>
              </w:rPr>
            </w:pPr>
            <w:r w:rsidRPr="007D70A5">
              <w:rPr>
                <w:rFonts w:cs="Arial"/>
              </w:rPr>
              <w:t>Time</w:t>
            </w:r>
            <w:r w:rsidRPr="00BA257D">
              <w:rPr>
                <w:rFonts w:ascii="Arial" w:hAnsi="Arial" w:cs="Arial"/>
                <w:color w:val="404040"/>
                <w:sz w:val="21"/>
                <w:szCs w:val="21"/>
                <w:vertAlign w:val="superscript"/>
              </w:rPr>
              <w:t>§</w:t>
            </w:r>
          </w:p>
        </w:tc>
        <w:tc>
          <w:tcPr>
            <w:tcW w:w="1870" w:type="dxa"/>
          </w:tcPr>
          <w:p w:rsidR="00D0449A" w:rsidRPr="007D70A5" w:rsidRDefault="00D0449A" w:rsidP="00B64C60">
            <w:pPr>
              <w:spacing w:line="480" w:lineRule="auto"/>
              <w:jc w:val="center"/>
              <w:rPr>
                <w:rFonts w:cs="Arial"/>
              </w:rPr>
            </w:pPr>
            <w:r w:rsidRPr="007D70A5">
              <w:rPr>
                <w:rFonts w:cs="Arial"/>
              </w:rPr>
              <w:t xml:space="preserve">-0.038 </w:t>
            </w:r>
          </w:p>
          <w:p w:rsidR="00D0449A" w:rsidRPr="007D70A5" w:rsidRDefault="00D0449A" w:rsidP="00B64C60">
            <w:pPr>
              <w:spacing w:line="480" w:lineRule="auto"/>
              <w:jc w:val="center"/>
              <w:rPr>
                <w:rFonts w:cs="Arial"/>
              </w:rPr>
            </w:pPr>
            <w:r w:rsidRPr="007D70A5">
              <w:rPr>
                <w:rFonts w:cs="Arial"/>
              </w:rPr>
              <w:t>(-0.079,0.003)</w:t>
            </w:r>
          </w:p>
        </w:tc>
        <w:tc>
          <w:tcPr>
            <w:tcW w:w="1870" w:type="dxa"/>
          </w:tcPr>
          <w:p w:rsidR="00D0449A" w:rsidRPr="007D70A5" w:rsidRDefault="00D0449A" w:rsidP="00B64C60">
            <w:pPr>
              <w:spacing w:line="480" w:lineRule="auto"/>
              <w:jc w:val="center"/>
              <w:rPr>
                <w:rFonts w:cs="Arial"/>
              </w:rPr>
            </w:pPr>
            <w:r w:rsidRPr="007D70A5">
              <w:rPr>
                <w:rFonts w:cs="Arial"/>
              </w:rPr>
              <w:t>-0.001</w:t>
            </w:r>
          </w:p>
          <w:p w:rsidR="00D0449A" w:rsidRPr="007D70A5" w:rsidRDefault="00D0449A" w:rsidP="00B64C60">
            <w:pPr>
              <w:spacing w:line="480" w:lineRule="auto"/>
              <w:jc w:val="center"/>
              <w:rPr>
                <w:rFonts w:cs="Arial"/>
              </w:rPr>
            </w:pPr>
            <w:r w:rsidRPr="007D70A5">
              <w:rPr>
                <w:rFonts w:cs="Arial"/>
              </w:rPr>
              <w:t>(-0.032, 0.031)</w:t>
            </w:r>
          </w:p>
        </w:tc>
        <w:tc>
          <w:tcPr>
            <w:tcW w:w="1870" w:type="dxa"/>
          </w:tcPr>
          <w:p w:rsidR="00D0449A" w:rsidRPr="007D70A5" w:rsidRDefault="00D0449A" w:rsidP="00B64C60">
            <w:pPr>
              <w:spacing w:line="480" w:lineRule="auto"/>
              <w:jc w:val="center"/>
              <w:rPr>
                <w:rFonts w:cs="Arial"/>
              </w:rPr>
            </w:pPr>
            <w:r w:rsidRPr="00AB7D11">
              <w:rPr>
                <w:rFonts w:cs="Arial"/>
              </w:rPr>
              <w:t>0.033</w:t>
            </w:r>
            <w:r w:rsidRPr="00AB7D11">
              <w:rPr>
                <w:rFonts w:ascii="Arial" w:hAnsi="Arial" w:cs="Arial"/>
                <w:color w:val="404040"/>
                <w:sz w:val="21"/>
                <w:szCs w:val="21"/>
                <w:vertAlign w:val="superscript"/>
              </w:rPr>
              <w:t>‡</w:t>
            </w:r>
          </w:p>
          <w:p w:rsidR="00D0449A" w:rsidRPr="007D70A5" w:rsidRDefault="00D0449A" w:rsidP="00B64C60">
            <w:pPr>
              <w:spacing w:line="480" w:lineRule="auto"/>
              <w:jc w:val="center"/>
              <w:rPr>
                <w:rFonts w:cs="Arial"/>
              </w:rPr>
            </w:pPr>
            <w:r w:rsidRPr="007D70A5">
              <w:rPr>
                <w:rFonts w:cs="Arial"/>
              </w:rPr>
              <w:t>(0.005, 0.061)</w:t>
            </w:r>
          </w:p>
        </w:tc>
        <w:tc>
          <w:tcPr>
            <w:tcW w:w="1870" w:type="dxa"/>
          </w:tcPr>
          <w:p w:rsidR="00D0449A" w:rsidRPr="007D70A5" w:rsidRDefault="00D0449A" w:rsidP="00B64C60">
            <w:pPr>
              <w:spacing w:line="480" w:lineRule="auto"/>
              <w:jc w:val="center"/>
              <w:rPr>
                <w:rFonts w:cs="Arial"/>
              </w:rPr>
            </w:pPr>
            <w:r w:rsidRPr="007D70A5">
              <w:rPr>
                <w:rFonts w:cs="Arial"/>
              </w:rPr>
              <w:t>-0.124</w:t>
            </w:r>
            <w:r w:rsidRPr="00AB7D11">
              <w:rPr>
                <w:rFonts w:ascii="Arial" w:hAnsi="Arial" w:cs="Arial"/>
                <w:color w:val="404040"/>
                <w:sz w:val="21"/>
                <w:szCs w:val="21"/>
                <w:vertAlign w:val="superscript"/>
              </w:rPr>
              <w:t>†</w:t>
            </w:r>
          </w:p>
          <w:p w:rsidR="00D0449A" w:rsidRPr="007D70A5" w:rsidRDefault="00D0449A" w:rsidP="00B64C60">
            <w:pPr>
              <w:spacing w:line="480" w:lineRule="auto"/>
              <w:jc w:val="center"/>
              <w:rPr>
                <w:rFonts w:cs="Arial"/>
              </w:rPr>
            </w:pPr>
            <w:r w:rsidRPr="007D70A5">
              <w:rPr>
                <w:rFonts w:cs="Arial"/>
              </w:rPr>
              <w:t>(-0.197, -0.051)</w:t>
            </w:r>
          </w:p>
        </w:tc>
      </w:tr>
      <w:tr w:rsidR="00D0449A" w:rsidRPr="007D70A5" w:rsidTr="00B64C60">
        <w:tc>
          <w:tcPr>
            <w:tcW w:w="1870" w:type="dxa"/>
          </w:tcPr>
          <w:p w:rsidR="00D0449A" w:rsidRPr="007D70A5" w:rsidRDefault="00D0449A" w:rsidP="00B64C60">
            <w:pPr>
              <w:spacing w:line="480" w:lineRule="auto"/>
              <w:rPr>
                <w:rFonts w:cs="Arial"/>
              </w:rPr>
            </w:pPr>
            <w:r w:rsidRPr="007D70A5">
              <w:rPr>
                <w:rFonts w:cs="Arial"/>
              </w:rPr>
              <w:t>Time: Guidelines</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-0.100</w:t>
            </w:r>
            <w:r>
              <w:rPr>
                <w:rFonts w:ascii="Arial" w:hAnsi="Arial" w:cs="Arial"/>
                <w:color w:val="404040"/>
                <w:sz w:val="21"/>
                <w:szCs w:val="21"/>
              </w:rPr>
              <w:t>*</w:t>
            </w:r>
          </w:p>
          <w:p w:rsidR="00D0449A" w:rsidRPr="007D70A5" w:rsidRDefault="00D0449A" w:rsidP="00B64C60">
            <w:pPr>
              <w:spacing w:line="480" w:lineRule="auto"/>
              <w:jc w:val="center"/>
              <w:rPr>
                <w:rFonts w:cs="Arial"/>
              </w:rPr>
            </w:pPr>
            <w:r w:rsidRPr="007D70A5">
              <w:rPr>
                <w:rFonts w:cs="Arial"/>
              </w:rPr>
              <w:t>(-0.154, -0.046)</w:t>
            </w:r>
          </w:p>
        </w:tc>
        <w:tc>
          <w:tcPr>
            <w:tcW w:w="1870" w:type="dxa"/>
          </w:tcPr>
          <w:p w:rsidR="00D0449A" w:rsidRPr="007D70A5" w:rsidRDefault="00D0449A" w:rsidP="00B64C60">
            <w:pPr>
              <w:spacing w:line="480" w:lineRule="auto"/>
              <w:jc w:val="center"/>
              <w:rPr>
                <w:rFonts w:cs="Arial"/>
              </w:rPr>
            </w:pPr>
            <w:r w:rsidRPr="007D70A5">
              <w:rPr>
                <w:rFonts w:cs="Arial"/>
              </w:rPr>
              <w:t>-0.110</w:t>
            </w:r>
            <w:r w:rsidRPr="00AB7D11">
              <w:rPr>
                <w:rFonts w:ascii="Arial" w:hAnsi="Arial" w:cs="Arial"/>
                <w:color w:val="404040"/>
                <w:sz w:val="21"/>
                <w:szCs w:val="21"/>
                <w:vertAlign w:val="superscript"/>
              </w:rPr>
              <w:t>†</w:t>
            </w:r>
          </w:p>
          <w:p w:rsidR="00D0449A" w:rsidRPr="007D70A5" w:rsidRDefault="00D0449A" w:rsidP="00B64C60">
            <w:pPr>
              <w:spacing w:line="480" w:lineRule="auto"/>
              <w:jc w:val="center"/>
              <w:rPr>
                <w:rFonts w:cs="Arial"/>
              </w:rPr>
            </w:pPr>
            <w:r w:rsidRPr="007D70A5">
              <w:rPr>
                <w:rFonts w:cs="Arial"/>
              </w:rPr>
              <w:t>(-0.144, -0.075)</w:t>
            </w:r>
          </w:p>
        </w:tc>
        <w:tc>
          <w:tcPr>
            <w:tcW w:w="1870" w:type="dxa"/>
          </w:tcPr>
          <w:p w:rsidR="00D0449A" w:rsidRPr="007D70A5" w:rsidRDefault="00D0449A" w:rsidP="00B64C60">
            <w:pPr>
              <w:spacing w:line="480" w:lineRule="auto"/>
              <w:jc w:val="center"/>
              <w:rPr>
                <w:rFonts w:cs="Arial"/>
              </w:rPr>
            </w:pPr>
            <w:r w:rsidRPr="007D70A5">
              <w:rPr>
                <w:rFonts w:cs="Arial"/>
              </w:rPr>
              <w:t>-</w:t>
            </w:r>
          </w:p>
        </w:tc>
      </w:tr>
      <w:tr w:rsidR="00D0449A" w:rsidRPr="007D70A5" w:rsidTr="00B64C60">
        <w:tc>
          <w:tcPr>
            <w:tcW w:w="1870" w:type="dxa"/>
          </w:tcPr>
          <w:p w:rsidR="00D0449A" w:rsidRPr="007D70A5" w:rsidRDefault="00D0449A" w:rsidP="00B64C60">
            <w:pPr>
              <w:spacing w:line="480" w:lineRule="auto"/>
              <w:rPr>
                <w:rFonts w:cs="Arial"/>
              </w:rPr>
            </w:pPr>
            <w:r w:rsidRPr="007D70A5">
              <w:rPr>
                <w:rFonts w:cs="Arial"/>
              </w:rPr>
              <w:t>Guidelines</w:t>
            </w:r>
          </w:p>
        </w:tc>
        <w:tc>
          <w:tcPr>
            <w:tcW w:w="1870" w:type="dxa"/>
          </w:tcPr>
          <w:p w:rsidR="00D0449A" w:rsidRPr="007D70A5" w:rsidRDefault="00D0449A" w:rsidP="00B64C60">
            <w:pPr>
              <w:spacing w:line="480" w:lineRule="auto"/>
              <w:jc w:val="center"/>
              <w:rPr>
                <w:rFonts w:cs="Arial"/>
              </w:rPr>
            </w:pPr>
            <w:r w:rsidRPr="007D70A5">
              <w:rPr>
                <w:rFonts w:cs="Arial"/>
              </w:rPr>
              <w:t>-0.872</w:t>
            </w:r>
          </w:p>
          <w:p w:rsidR="00D0449A" w:rsidRPr="007D70A5" w:rsidRDefault="00D0449A" w:rsidP="00B64C60">
            <w:pPr>
              <w:spacing w:line="480" w:lineRule="auto"/>
              <w:jc w:val="center"/>
              <w:rPr>
                <w:rFonts w:cs="Arial"/>
              </w:rPr>
            </w:pPr>
            <w:r w:rsidRPr="007D70A5">
              <w:rPr>
                <w:rFonts w:cs="Arial"/>
              </w:rPr>
              <w:t>(-2.457,0.712)</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1.824</w:t>
            </w:r>
            <w:r>
              <w:rPr>
                <w:rFonts w:ascii="Arial" w:hAnsi="Arial" w:cs="Arial"/>
                <w:color w:val="404040"/>
                <w:sz w:val="21"/>
                <w:szCs w:val="21"/>
              </w:rPr>
              <w:t>*</w:t>
            </w:r>
            <w:r w:rsidRPr="007D70A5">
              <w:rPr>
                <w:rFonts w:cs="Arial"/>
              </w:rPr>
              <w:t xml:space="preserve"> </w:t>
            </w:r>
          </w:p>
          <w:p w:rsidR="00D0449A" w:rsidRPr="007D70A5" w:rsidRDefault="00D0449A" w:rsidP="00B64C60">
            <w:pPr>
              <w:spacing w:line="480" w:lineRule="auto"/>
              <w:jc w:val="center"/>
              <w:rPr>
                <w:rFonts w:cs="Arial"/>
              </w:rPr>
            </w:pPr>
            <w:r w:rsidRPr="007D70A5">
              <w:rPr>
                <w:rFonts w:cs="Arial"/>
              </w:rPr>
              <w:t>(0.794, 2.855)</w:t>
            </w:r>
          </w:p>
        </w:tc>
        <w:tc>
          <w:tcPr>
            <w:tcW w:w="1870" w:type="dxa"/>
          </w:tcPr>
          <w:p w:rsidR="00D0449A" w:rsidRPr="007D70A5" w:rsidRDefault="00D0449A" w:rsidP="00B64C60">
            <w:pPr>
              <w:spacing w:line="480" w:lineRule="auto"/>
              <w:jc w:val="center"/>
              <w:rPr>
                <w:rFonts w:cs="Arial"/>
              </w:rPr>
            </w:pPr>
            <w:r w:rsidRPr="007D70A5">
              <w:rPr>
                <w:rFonts w:cs="Arial"/>
              </w:rPr>
              <w:t>-</w:t>
            </w:r>
          </w:p>
        </w:tc>
      </w:tr>
      <w:tr w:rsidR="00D0449A" w:rsidRPr="007D70A5" w:rsidTr="00B64C60">
        <w:tc>
          <w:tcPr>
            <w:tcW w:w="1870" w:type="dxa"/>
          </w:tcPr>
          <w:p w:rsidR="00D0449A" w:rsidRPr="007D70A5" w:rsidRDefault="00D0449A" w:rsidP="00B64C60">
            <w:pPr>
              <w:spacing w:line="480" w:lineRule="auto"/>
              <w:rPr>
                <w:rFonts w:cs="Arial"/>
              </w:rPr>
            </w:pPr>
          </w:p>
        </w:tc>
        <w:tc>
          <w:tcPr>
            <w:tcW w:w="1870" w:type="dxa"/>
          </w:tcPr>
          <w:p w:rsidR="00D0449A" w:rsidRPr="007D70A5" w:rsidRDefault="00D0449A" w:rsidP="00B64C60">
            <w:pPr>
              <w:spacing w:line="480" w:lineRule="auto"/>
              <w:jc w:val="center"/>
              <w:rPr>
                <w:rFonts w:cs="Arial"/>
              </w:rPr>
            </w:pPr>
          </w:p>
        </w:tc>
        <w:tc>
          <w:tcPr>
            <w:tcW w:w="1870" w:type="dxa"/>
          </w:tcPr>
          <w:p w:rsidR="00D0449A" w:rsidRPr="007D70A5" w:rsidRDefault="00D0449A" w:rsidP="00B64C60">
            <w:pPr>
              <w:spacing w:line="480" w:lineRule="auto"/>
              <w:jc w:val="center"/>
              <w:rPr>
                <w:rFonts w:cs="Arial"/>
              </w:rPr>
            </w:pPr>
          </w:p>
        </w:tc>
        <w:tc>
          <w:tcPr>
            <w:tcW w:w="1870" w:type="dxa"/>
          </w:tcPr>
          <w:p w:rsidR="00D0449A" w:rsidRPr="007D70A5" w:rsidRDefault="00D0449A" w:rsidP="00B64C60">
            <w:pPr>
              <w:spacing w:line="480" w:lineRule="auto"/>
              <w:rPr>
                <w:rFonts w:cs="Arial"/>
              </w:rPr>
            </w:pPr>
          </w:p>
        </w:tc>
        <w:tc>
          <w:tcPr>
            <w:tcW w:w="1870" w:type="dxa"/>
          </w:tcPr>
          <w:p w:rsidR="00D0449A" w:rsidRPr="007D70A5" w:rsidRDefault="00D0449A" w:rsidP="00B64C60">
            <w:pPr>
              <w:spacing w:line="480" w:lineRule="auto"/>
              <w:jc w:val="center"/>
              <w:rPr>
                <w:rFonts w:cs="Arial"/>
              </w:rPr>
            </w:pPr>
          </w:p>
        </w:tc>
      </w:tr>
      <w:tr w:rsidR="00D0449A" w:rsidRPr="007D70A5" w:rsidTr="00B64C60">
        <w:tc>
          <w:tcPr>
            <w:tcW w:w="1870" w:type="dxa"/>
          </w:tcPr>
          <w:p w:rsidR="00D0449A" w:rsidRPr="007D70A5" w:rsidRDefault="00D0449A" w:rsidP="00B64C60">
            <w:pPr>
              <w:spacing w:line="480" w:lineRule="auto"/>
              <w:rPr>
                <w:rFonts w:cs="Arial"/>
              </w:rPr>
            </w:pPr>
            <w:r w:rsidRPr="007D70A5">
              <w:rPr>
                <w:rFonts w:cs="Arial"/>
              </w:rPr>
              <w:t>Period 2</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-2.133</w:t>
            </w:r>
            <w:r w:rsidRPr="00AB7D11">
              <w:rPr>
                <w:rFonts w:ascii="Arial" w:hAnsi="Arial" w:cs="Arial"/>
                <w:color w:val="404040"/>
                <w:sz w:val="21"/>
                <w:szCs w:val="21"/>
                <w:vertAlign w:val="superscript"/>
              </w:rPr>
              <w:t>†</w:t>
            </w:r>
          </w:p>
          <w:p w:rsidR="00D0449A" w:rsidRPr="007D70A5" w:rsidRDefault="00D0449A" w:rsidP="00B64C60">
            <w:pPr>
              <w:spacing w:line="480" w:lineRule="auto"/>
              <w:jc w:val="center"/>
              <w:rPr>
                <w:rFonts w:cs="Arial"/>
              </w:rPr>
            </w:pPr>
            <w:r w:rsidRPr="007D70A5">
              <w:rPr>
                <w:rFonts w:cs="Arial"/>
              </w:rPr>
              <w:lastRenderedPageBreak/>
              <w:t>(-3.619, -0.646)</w:t>
            </w:r>
          </w:p>
        </w:tc>
      </w:tr>
      <w:tr w:rsidR="00D0449A" w:rsidRPr="007D70A5" w:rsidTr="00B64C60">
        <w:tc>
          <w:tcPr>
            <w:tcW w:w="1870" w:type="dxa"/>
          </w:tcPr>
          <w:p w:rsidR="00D0449A" w:rsidRPr="007D70A5" w:rsidRDefault="00D0449A" w:rsidP="00B64C60">
            <w:pPr>
              <w:spacing w:line="480" w:lineRule="auto"/>
              <w:rPr>
                <w:rFonts w:cs="Arial"/>
              </w:rPr>
            </w:pPr>
            <w:r w:rsidRPr="007D70A5">
              <w:rPr>
                <w:rFonts w:cs="Arial"/>
              </w:rPr>
              <w:lastRenderedPageBreak/>
              <w:t>Period 3</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0.812</w:t>
            </w:r>
          </w:p>
          <w:p w:rsidR="00D0449A" w:rsidRPr="007D70A5" w:rsidRDefault="00D0449A" w:rsidP="00B64C60">
            <w:pPr>
              <w:spacing w:line="480" w:lineRule="auto"/>
              <w:jc w:val="center"/>
              <w:rPr>
                <w:rFonts w:cs="Arial"/>
              </w:rPr>
            </w:pPr>
            <w:r w:rsidRPr="007D70A5">
              <w:rPr>
                <w:rFonts w:cs="Arial"/>
              </w:rPr>
              <w:t>(-0.187, 1.811)</w:t>
            </w:r>
          </w:p>
        </w:tc>
      </w:tr>
      <w:tr w:rsidR="00D0449A" w:rsidRPr="007D70A5" w:rsidTr="00B64C60">
        <w:tc>
          <w:tcPr>
            <w:tcW w:w="1870" w:type="dxa"/>
          </w:tcPr>
          <w:p w:rsidR="00D0449A" w:rsidRPr="007D70A5" w:rsidRDefault="00D0449A" w:rsidP="00B64C60">
            <w:pPr>
              <w:spacing w:line="480" w:lineRule="auto"/>
              <w:rPr>
                <w:rFonts w:cs="Arial"/>
              </w:rPr>
            </w:pPr>
            <w:r w:rsidRPr="007D70A5">
              <w:rPr>
                <w:rFonts w:cs="Arial"/>
              </w:rPr>
              <w:t>Time:Period 2</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0.216</w:t>
            </w:r>
            <w:r>
              <w:rPr>
                <w:rFonts w:ascii="Arial" w:hAnsi="Arial" w:cs="Arial"/>
                <w:color w:val="404040"/>
                <w:sz w:val="21"/>
                <w:szCs w:val="21"/>
              </w:rPr>
              <w:t>*</w:t>
            </w:r>
          </w:p>
          <w:p w:rsidR="00D0449A" w:rsidRPr="007D70A5" w:rsidRDefault="00D0449A" w:rsidP="00B64C60">
            <w:pPr>
              <w:spacing w:line="480" w:lineRule="auto"/>
              <w:jc w:val="center"/>
              <w:rPr>
                <w:rFonts w:cs="Arial"/>
              </w:rPr>
            </w:pPr>
            <w:r w:rsidRPr="007D70A5">
              <w:rPr>
                <w:rFonts w:cs="Arial"/>
              </w:rPr>
              <w:t>(0.117, 0.314)</w:t>
            </w:r>
          </w:p>
        </w:tc>
      </w:tr>
      <w:tr w:rsidR="00D0449A" w:rsidRPr="007D70A5" w:rsidTr="00B64C60">
        <w:tc>
          <w:tcPr>
            <w:tcW w:w="1870" w:type="dxa"/>
          </w:tcPr>
          <w:p w:rsidR="00D0449A" w:rsidRPr="007D70A5" w:rsidRDefault="00D0449A" w:rsidP="00B64C60">
            <w:pPr>
              <w:spacing w:line="480" w:lineRule="auto"/>
              <w:rPr>
                <w:rFonts w:cs="Arial"/>
              </w:rPr>
            </w:pPr>
            <w:r w:rsidRPr="007D70A5">
              <w:rPr>
                <w:rFonts w:cs="Arial"/>
              </w:rPr>
              <w:t>Time Period 3</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w:t>
            </w:r>
          </w:p>
        </w:tc>
        <w:tc>
          <w:tcPr>
            <w:tcW w:w="1870" w:type="dxa"/>
          </w:tcPr>
          <w:p w:rsidR="00D0449A" w:rsidRPr="007D70A5" w:rsidRDefault="00D0449A" w:rsidP="00B64C60">
            <w:pPr>
              <w:spacing w:line="480" w:lineRule="auto"/>
              <w:jc w:val="center"/>
              <w:rPr>
                <w:rFonts w:cs="Arial"/>
              </w:rPr>
            </w:pPr>
            <w:r w:rsidRPr="007D70A5">
              <w:rPr>
                <w:rFonts w:cs="Arial"/>
              </w:rPr>
              <w:t>0.047</w:t>
            </w:r>
          </w:p>
          <w:p w:rsidR="00D0449A" w:rsidRPr="007D70A5" w:rsidRDefault="00D0449A" w:rsidP="00B64C60">
            <w:pPr>
              <w:spacing w:line="480" w:lineRule="auto"/>
              <w:jc w:val="center"/>
              <w:rPr>
                <w:rFonts w:cs="Arial"/>
              </w:rPr>
            </w:pPr>
            <w:r w:rsidRPr="007D70A5">
              <w:rPr>
                <w:rFonts w:cs="Arial"/>
              </w:rPr>
              <w:t>(-0.028, 0.123)</w:t>
            </w:r>
          </w:p>
        </w:tc>
      </w:tr>
      <w:tr w:rsidR="00D0449A" w:rsidRPr="007D70A5" w:rsidTr="00B64C60">
        <w:tc>
          <w:tcPr>
            <w:tcW w:w="1870" w:type="dxa"/>
            <w:tcBorders>
              <w:bottom w:val="single" w:sz="4" w:space="0" w:color="auto"/>
            </w:tcBorders>
          </w:tcPr>
          <w:p w:rsidR="00D0449A" w:rsidRPr="007D70A5" w:rsidRDefault="00D0449A" w:rsidP="00B64C60">
            <w:pPr>
              <w:spacing w:line="480" w:lineRule="auto"/>
              <w:rPr>
                <w:rFonts w:cs="Arial"/>
              </w:rPr>
            </w:pPr>
          </w:p>
        </w:tc>
        <w:tc>
          <w:tcPr>
            <w:tcW w:w="1870" w:type="dxa"/>
            <w:tcBorders>
              <w:bottom w:val="single" w:sz="4" w:space="0" w:color="auto"/>
            </w:tcBorders>
          </w:tcPr>
          <w:p w:rsidR="00D0449A" w:rsidRPr="007D70A5" w:rsidRDefault="00D0449A" w:rsidP="00B64C60">
            <w:pPr>
              <w:spacing w:line="480" w:lineRule="auto"/>
              <w:jc w:val="center"/>
              <w:rPr>
                <w:rFonts w:cs="Arial"/>
              </w:rPr>
            </w:pPr>
          </w:p>
        </w:tc>
        <w:tc>
          <w:tcPr>
            <w:tcW w:w="1870" w:type="dxa"/>
            <w:tcBorders>
              <w:bottom w:val="single" w:sz="4" w:space="0" w:color="auto"/>
            </w:tcBorders>
          </w:tcPr>
          <w:p w:rsidR="00D0449A" w:rsidRPr="007D70A5" w:rsidRDefault="00D0449A" w:rsidP="00B64C60">
            <w:pPr>
              <w:spacing w:line="480" w:lineRule="auto"/>
              <w:jc w:val="center"/>
              <w:rPr>
                <w:rFonts w:cs="Arial"/>
              </w:rPr>
            </w:pPr>
          </w:p>
        </w:tc>
        <w:tc>
          <w:tcPr>
            <w:tcW w:w="1870" w:type="dxa"/>
            <w:tcBorders>
              <w:bottom w:val="single" w:sz="4" w:space="0" w:color="auto"/>
            </w:tcBorders>
          </w:tcPr>
          <w:p w:rsidR="00D0449A" w:rsidRPr="007D70A5" w:rsidRDefault="00D0449A" w:rsidP="00B64C60">
            <w:pPr>
              <w:spacing w:line="480" w:lineRule="auto"/>
              <w:jc w:val="center"/>
              <w:rPr>
                <w:rFonts w:cs="Arial"/>
              </w:rPr>
            </w:pPr>
          </w:p>
        </w:tc>
        <w:tc>
          <w:tcPr>
            <w:tcW w:w="1870" w:type="dxa"/>
            <w:tcBorders>
              <w:bottom w:val="single" w:sz="4" w:space="0" w:color="auto"/>
            </w:tcBorders>
          </w:tcPr>
          <w:p w:rsidR="00D0449A" w:rsidRPr="007D70A5" w:rsidRDefault="00D0449A" w:rsidP="00B64C60">
            <w:pPr>
              <w:spacing w:line="480" w:lineRule="auto"/>
              <w:jc w:val="center"/>
              <w:rPr>
                <w:rFonts w:cs="Arial"/>
              </w:rPr>
            </w:pPr>
          </w:p>
        </w:tc>
      </w:tr>
      <w:tr w:rsidR="00D0449A" w:rsidRPr="007D70A5" w:rsidTr="00B64C60">
        <w:tc>
          <w:tcPr>
            <w:tcW w:w="1870" w:type="dxa"/>
            <w:tcBorders>
              <w:top w:val="single" w:sz="4" w:space="0" w:color="auto"/>
            </w:tcBorders>
          </w:tcPr>
          <w:p w:rsidR="00D0449A" w:rsidRPr="007D70A5" w:rsidRDefault="00D0449A" w:rsidP="00B64C60">
            <w:pPr>
              <w:spacing w:line="480" w:lineRule="auto"/>
              <w:rPr>
                <w:rFonts w:cs="Arial"/>
              </w:rPr>
            </w:pPr>
            <w:r w:rsidRPr="007D70A5">
              <w:rPr>
                <w:rFonts w:cs="Arial"/>
              </w:rPr>
              <w:t>Adjusted R</w:t>
            </w:r>
            <w:r w:rsidRPr="007D70A5">
              <w:rPr>
                <w:rFonts w:cs="Arial"/>
                <w:vertAlign w:val="superscript"/>
              </w:rPr>
              <w:t>2</w:t>
            </w:r>
          </w:p>
        </w:tc>
        <w:tc>
          <w:tcPr>
            <w:tcW w:w="1870"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0.6682</w:t>
            </w:r>
          </w:p>
        </w:tc>
        <w:tc>
          <w:tcPr>
            <w:tcW w:w="1870"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0.7519</w:t>
            </w:r>
          </w:p>
        </w:tc>
        <w:tc>
          <w:tcPr>
            <w:tcW w:w="1870"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0.7995</w:t>
            </w:r>
          </w:p>
        </w:tc>
        <w:tc>
          <w:tcPr>
            <w:tcW w:w="1870"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0.8532</w:t>
            </w:r>
          </w:p>
        </w:tc>
      </w:tr>
      <w:tr w:rsidR="00D0449A" w:rsidRPr="007D70A5" w:rsidTr="00B64C60">
        <w:tc>
          <w:tcPr>
            <w:tcW w:w="1870" w:type="dxa"/>
            <w:tcBorders>
              <w:bottom w:val="single" w:sz="12" w:space="0" w:color="auto"/>
            </w:tcBorders>
          </w:tcPr>
          <w:p w:rsidR="00D0449A" w:rsidRPr="007D70A5" w:rsidRDefault="00D0449A" w:rsidP="00B64C60">
            <w:pPr>
              <w:spacing w:line="480" w:lineRule="auto"/>
              <w:rPr>
                <w:rFonts w:cs="Arial"/>
              </w:rPr>
            </w:pPr>
            <w:r w:rsidRPr="007D70A5">
              <w:rPr>
                <w:rFonts w:cs="Arial"/>
              </w:rPr>
              <w:t>AIC</w:t>
            </w:r>
          </w:p>
        </w:tc>
        <w:tc>
          <w:tcPr>
            <w:tcW w:w="1870" w:type="dxa"/>
            <w:tcBorders>
              <w:bottom w:val="single" w:sz="12" w:space="0" w:color="auto"/>
            </w:tcBorders>
          </w:tcPr>
          <w:p w:rsidR="00D0449A" w:rsidRPr="007D70A5" w:rsidRDefault="00D0449A" w:rsidP="00B64C60">
            <w:pPr>
              <w:spacing w:line="480" w:lineRule="auto"/>
              <w:jc w:val="center"/>
              <w:rPr>
                <w:rFonts w:cs="Arial"/>
              </w:rPr>
            </w:pPr>
            <w:r w:rsidRPr="007D70A5">
              <w:rPr>
                <w:rFonts w:cs="Arial"/>
              </w:rPr>
              <w:t>139.16</w:t>
            </w:r>
          </w:p>
        </w:tc>
        <w:tc>
          <w:tcPr>
            <w:tcW w:w="1870" w:type="dxa"/>
            <w:tcBorders>
              <w:bottom w:val="single" w:sz="12" w:space="0" w:color="auto"/>
            </w:tcBorders>
          </w:tcPr>
          <w:p w:rsidR="00D0449A" w:rsidRPr="007D70A5" w:rsidRDefault="00D0449A" w:rsidP="00B64C60">
            <w:pPr>
              <w:spacing w:line="480" w:lineRule="auto"/>
              <w:jc w:val="center"/>
              <w:rPr>
                <w:rFonts w:cs="Arial"/>
              </w:rPr>
            </w:pPr>
            <w:r w:rsidRPr="007D70A5">
              <w:rPr>
                <w:rFonts w:cs="Arial"/>
              </w:rPr>
              <w:t>121.71</w:t>
            </w:r>
          </w:p>
        </w:tc>
        <w:tc>
          <w:tcPr>
            <w:tcW w:w="1870" w:type="dxa"/>
            <w:tcBorders>
              <w:bottom w:val="single" w:sz="12" w:space="0" w:color="auto"/>
            </w:tcBorders>
          </w:tcPr>
          <w:p w:rsidR="00D0449A" w:rsidRPr="007D70A5" w:rsidRDefault="00D0449A" w:rsidP="00B64C60">
            <w:pPr>
              <w:spacing w:line="480" w:lineRule="auto"/>
              <w:jc w:val="center"/>
              <w:rPr>
                <w:rFonts w:cs="Arial"/>
              </w:rPr>
            </w:pPr>
            <w:r w:rsidRPr="007D70A5">
              <w:rPr>
                <w:rFonts w:cs="Arial"/>
              </w:rPr>
              <w:t>109.88</w:t>
            </w:r>
          </w:p>
        </w:tc>
        <w:tc>
          <w:tcPr>
            <w:tcW w:w="1870" w:type="dxa"/>
            <w:tcBorders>
              <w:bottom w:val="single" w:sz="12" w:space="0" w:color="auto"/>
            </w:tcBorders>
          </w:tcPr>
          <w:p w:rsidR="00D0449A" w:rsidRPr="007D70A5" w:rsidRDefault="00D0449A" w:rsidP="00B64C60">
            <w:pPr>
              <w:spacing w:line="480" w:lineRule="auto"/>
              <w:jc w:val="center"/>
              <w:rPr>
                <w:rFonts w:cs="Arial"/>
              </w:rPr>
            </w:pPr>
            <w:r w:rsidRPr="007D70A5">
              <w:rPr>
                <w:rFonts w:cs="Arial"/>
              </w:rPr>
              <w:t>92.99</w:t>
            </w:r>
          </w:p>
        </w:tc>
      </w:tr>
      <w:tr w:rsidR="00D0449A" w:rsidRPr="007D70A5" w:rsidTr="00B64C60">
        <w:tc>
          <w:tcPr>
            <w:tcW w:w="9350" w:type="dxa"/>
            <w:gridSpan w:val="5"/>
            <w:tcBorders>
              <w:top w:val="single" w:sz="12" w:space="0" w:color="auto"/>
            </w:tcBorders>
          </w:tcPr>
          <w:p w:rsidR="00D0449A" w:rsidRPr="007D70A5" w:rsidRDefault="00D0449A" w:rsidP="00B64C60">
            <w:pPr>
              <w:spacing w:line="480" w:lineRule="auto"/>
              <w:rPr>
                <w:rFonts w:cs="Arial"/>
              </w:rPr>
            </w:pPr>
            <w:r w:rsidRPr="007D70A5">
              <w:rPr>
                <w:rFonts w:cs="Arial"/>
              </w:rPr>
              <w:t xml:space="preserve">Significance levels are denoted as: </w:t>
            </w:r>
            <w:r>
              <w:rPr>
                <w:rFonts w:ascii="Arial" w:hAnsi="Arial" w:cs="Arial"/>
                <w:color w:val="404040"/>
                <w:sz w:val="21"/>
                <w:szCs w:val="21"/>
              </w:rPr>
              <w:t>*</w:t>
            </w:r>
            <w:r w:rsidRPr="007D70A5">
              <w:rPr>
                <w:rFonts w:cs="Arial"/>
                <w:i/>
              </w:rPr>
              <w:t xml:space="preserve">p &lt; 0.001, </w:t>
            </w:r>
            <w:r w:rsidRPr="00AB7D11">
              <w:rPr>
                <w:rFonts w:ascii="Arial" w:hAnsi="Arial" w:cs="Arial"/>
                <w:color w:val="404040"/>
                <w:sz w:val="21"/>
                <w:szCs w:val="21"/>
                <w:vertAlign w:val="superscript"/>
              </w:rPr>
              <w:t>†</w:t>
            </w:r>
            <w:r w:rsidRPr="007D70A5">
              <w:rPr>
                <w:rFonts w:cs="Arial"/>
                <w:i/>
              </w:rPr>
              <w:t xml:space="preserve">p &lt; 0.01, </w:t>
            </w:r>
            <w:r w:rsidRPr="00AB7D11">
              <w:rPr>
                <w:rFonts w:ascii="Arial" w:hAnsi="Arial" w:cs="Arial"/>
                <w:color w:val="404040"/>
                <w:sz w:val="21"/>
                <w:szCs w:val="21"/>
                <w:vertAlign w:val="superscript"/>
              </w:rPr>
              <w:t>‡</w:t>
            </w:r>
            <w:r w:rsidRPr="007D70A5">
              <w:rPr>
                <w:rFonts w:cs="Arial"/>
                <w:i/>
              </w:rPr>
              <w:t>p&lt;0.05.</w:t>
            </w:r>
            <w:r w:rsidRPr="007D70A5">
              <w:rPr>
                <w:rFonts w:cs="Arial"/>
              </w:rPr>
              <w:t xml:space="preserve"> </w:t>
            </w:r>
            <w:r w:rsidRPr="00BA257D">
              <w:rPr>
                <w:rFonts w:ascii="Arial" w:hAnsi="Arial" w:cs="Arial"/>
                <w:color w:val="404040"/>
                <w:sz w:val="21"/>
                <w:szCs w:val="21"/>
                <w:vertAlign w:val="superscript"/>
              </w:rPr>
              <w:t>§</w:t>
            </w:r>
            <w:r w:rsidRPr="007D70A5">
              <w:rPr>
                <w:rFonts w:cs="Arial"/>
              </w:rPr>
              <w:t xml:space="preserve">For Model 2, the time variable was defined as (Time - 28) as described in Appendix </w:t>
            </w:r>
            <w:r>
              <w:rPr>
                <w:rFonts w:cs="Arial"/>
              </w:rPr>
              <w:t>materials.</w:t>
            </w:r>
          </w:p>
        </w:tc>
      </w:tr>
    </w:tbl>
    <w:p w:rsidR="00D0449A" w:rsidRPr="007D70A5" w:rsidRDefault="00D0449A" w:rsidP="00D0449A">
      <w:pPr>
        <w:spacing w:line="480" w:lineRule="auto"/>
        <w:rPr>
          <w:rFonts w:cs="Arial"/>
        </w:rPr>
      </w:pPr>
    </w:p>
    <w:p w:rsidR="00D0449A" w:rsidRPr="007D70A5" w:rsidRDefault="00D0449A" w:rsidP="00D0449A">
      <w:pPr>
        <w:spacing w:line="480" w:lineRule="auto"/>
        <w:rPr>
          <w:rFonts w:cs="Arial"/>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Pr="007D70A5" w:rsidRDefault="00D0449A" w:rsidP="00D0449A">
      <w:pPr>
        <w:spacing w:line="480" w:lineRule="auto"/>
        <w:rPr>
          <w:rFonts w:cs="Arial"/>
        </w:rPr>
      </w:pPr>
      <w:r w:rsidRPr="00365E59">
        <w:rPr>
          <w:rFonts w:cs="Arial"/>
          <w:b/>
        </w:rPr>
        <w:t>Appendix Figure 1:</w:t>
      </w:r>
      <w:r w:rsidRPr="00365E59">
        <w:rPr>
          <w:rFonts w:cs="Arial"/>
        </w:rPr>
        <w:t xml:space="preserve"> Plots of Regression Results from the Interrupted Time-Series Analysis for Inappropriate Class.</w:t>
      </w:r>
    </w:p>
    <w:p w:rsidR="00D0449A" w:rsidRPr="007D70A5" w:rsidRDefault="00D0449A" w:rsidP="00D0449A">
      <w:pPr>
        <w:spacing w:line="480" w:lineRule="auto"/>
        <w:rPr>
          <w:rFonts w:cs="Arial"/>
        </w:rPr>
      </w:pPr>
      <w:r w:rsidRPr="00BB1EC4">
        <w:rPr>
          <w:rFonts w:cs="Arial"/>
          <w:noProof/>
        </w:rPr>
        <w:drawing>
          <wp:inline distT="0" distB="0" distL="0" distR="0" wp14:anchorId="617DD026" wp14:editId="32A71F64">
            <wp:extent cx="5943600" cy="444185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41854"/>
                    </a:xfrm>
                    <a:prstGeom prst="rect">
                      <a:avLst/>
                    </a:prstGeom>
                    <a:noFill/>
                    <a:ln>
                      <a:noFill/>
                    </a:ln>
                  </pic:spPr>
                </pic:pic>
              </a:graphicData>
            </a:graphic>
          </wp:inline>
        </w:drawing>
      </w:r>
    </w:p>
    <w:p w:rsidR="00D0449A" w:rsidRDefault="00D0449A" w:rsidP="00D0449A">
      <w:pPr>
        <w:spacing w:line="480" w:lineRule="auto"/>
      </w:pPr>
      <w:r>
        <w:lastRenderedPageBreak/>
        <w:t>Note. Dashed red line corresponds release of the clinical practice guideline. The black lines demonstrate the percentage of inappropriate prescriptions. The solid red lines represent before and after trend lines from the time-series analysis.</w:t>
      </w:r>
    </w:p>
    <w:p w:rsidR="00D0449A" w:rsidRPr="007D70A5" w:rsidRDefault="00D0449A" w:rsidP="00D0449A">
      <w:pPr>
        <w:spacing w:line="480" w:lineRule="auto"/>
        <w:rPr>
          <w:rFonts w:cs="Arial"/>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Pr="007D70A5" w:rsidRDefault="00D0449A" w:rsidP="00D0449A">
      <w:pPr>
        <w:spacing w:line="480" w:lineRule="auto"/>
        <w:rPr>
          <w:rFonts w:cs="Arial"/>
        </w:rPr>
      </w:pPr>
      <w:r w:rsidRPr="00365E59">
        <w:rPr>
          <w:rFonts w:cs="Arial"/>
          <w:b/>
        </w:rPr>
        <w:t>Appendix Figure 2:</w:t>
      </w:r>
      <w:r w:rsidRPr="00365E59">
        <w:rPr>
          <w:rFonts w:cs="Arial"/>
        </w:rPr>
        <w:t xml:space="preserve"> Plot of Regression Discontinuity Analysis for Prescribing of Inappropriate Class.</w:t>
      </w:r>
    </w:p>
    <w:p w:rsidR="00D0449A" w:rsidRPr="007D70A5" w:rsidRDefault="00D0449A" w:rsidP="00D0449A">
      <w:pPr>
        <w:spacing w:line="480" w:lineRule="auto"/>
        <w:rPr>
          <w:rFonts w:cs="Arial"/>
        </w:rPr>
      </w:pPr>
      <w:r w:rsidRPr="007D70A5">
        <w:rPr>
          <w:rFonts w:cs="Arial"/>
          <w:noProof/>
        </w:rPr>
        <w:drawing>
          <wp:inline distT="0" distB="0" distL="0" distR="0" wp14:anchorId="506C1425" wp14:editId="5D4DC0F5">
            <wp:extent cx="4075043" cy="270488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dplot.pdf"/>
                    <pic:cNvPicPr/>
                  </pic:nvPicPr>
                  <pic:blipFill rotWithShape="1">
                    <a:blip r:embed="rId9">
                      <a:extLst>
                        <a:ext uri="{28A0092B-C50C-407E-A947-70E740481C1C}">
                          <a14:useLocalDpi xmlns:a14="http://schemas.microsoft.com/office/drawing/2010/main" val="0"/>
                        </a:ext>
                      </a:extLst>
                    </a:blip>
                    <a:srcRect t="17029"/>
                    <a:stretch/>
                  </pic:blipFill>
                  <pic:spPr bwMode="auto">
                    <a:xfrm>
                      <a:off x="0" y="0"/>
                      <a:ext cx="4086882" cy="2712742"/>
                    </a:xfrm>
                    <a:prstGeom prst="rect">
                      <a:avLst/>
                    </a:prstGeom>
                    <a:ln>
                      <a:noFill/>
                    </a:ln>
                    <a:extLst>
                      <a:ext uri="{53640926-AAD7-44D8-BBD7-CCE9431645EC}">
                        <a14:shadowObscured xmlns:a14="http://schemas.microsoft.com/office/drawing/2010/main"/>
                      </a:ext>
                    </a:extLst>
                  </pic:spPr>
                </pic:pic>
              </a:graphicData>
            </a:graphic>
          </wp:inline>
        </w:drawing>
      </w:r>
    </w:p>
    <w:p w:rsidR="00D0449A" w:rsidRPr="007D70A5" w:rsidRDefault="00D0449A" w:rsidP="00D0449A">
      <w:pPr>
        <w:spacing w:line="480" w:lineRule="auto"/>
        <w:rPr>
          <w:rFonts w:cs="Arial"/>
        </w:rPr>
      </w:pPr>
      <w:r w:rsidRPr="00365E59">
        <w:rPr>
          <w:rFonts w:cs="Arial"/>
        </w:rPr>
        <w:lastRenderedPageBreak/>
        <w:t>Appendix Table 5: Regression Results for Interrupted Time-Series Analysis of Antibiotic Prescribing of Inappropriate Duration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2535"/>
        <w:gridCol w:w="2520"/>
        <w:gridCol w:w="2340"/>
      </w:tblGrid>
      <w:tr w:rsidR="00D0449A" w:rsidRPr="007D70A5" w:rsidTr="00B64C60">
        <w:tc>
          <w:tcPr>
            <w:tcW w:w="1870" w:type="dxa"/>
            <w:tcBorders>
              <w:top w:val="single" w:sz="4" w:space="0" w:color="auto"/>
            </w:tcBorders>
          </w:tcPr>
          <w:p w:rsidR="00D0449A" w:rsidRPr="007D70A5" w:rsidRDefault="00D0449A" w:rsidP="00B64C60">
            <w:pPr>
              <w:spacing w:line="480" w:lineRule="auto"/>
              <w:rPr>
                <w:rFonts w:cs="Arial"/>
              </w:rPr>
            </w:pPr>
          </w:p>
        </w:tc>
        <w:tc>
          <w:tcPr>
            <w:tcW w:w="7395" w:type="dxa"/>
            <w:gridSpan w:val="3"/>
            <w:tcBorders>
              <w:top w:val="single" w:sz="4" w:space="0" w:color="auto"/>
            </w:tcBorders>
          </w:tcPr>
          <w:p w:rsidR="00D0449A" w:rsidRPr="007D70A5" w:rsidRDefault="00D0449A" w:rsidP="00B64C60">
            <w:pPr>
              <w:spacing w:line="480" w:lineRule="auto"/>
              <w:jc w:val="center"/>
              <w:rPr>
                <w:rFonts w:cs="Arial"/>
                <w:b/>
              </w:rPr>
            </w:pPr>
            <w:r w:rsidRPr="007D70A5">
              <w:rPr>
                <w:rFonts w:cs="Arial"/>
                <w:b/>
              </w:rPr>
              <w:t>Coefficient Estimates (95% C.I.)</w:t>
            </w:r>
          </w:p>
        </w:tc>
      </w:tr>
      <w:tr w:rsidR="00D0449A" w:rsidRPr="007D70A5" w:rsidTr="00B64C60">
        <w:tc>
          <w:tcPr>
            <w:tcW w:w="1870" w:type="dxa"/>
            <w:tcBorders>
              <w:bottom w:val="single" w:sz="4" w:space="0" w:color="auto"/>
            </w:tcBorders>
          </w:tcPr>
          <w:p w:rsidR="00D0449A" w:rsidRPr="007D70A5" w:rsidRDefault="00D0449A" w:rsidP="00B64C60">
            <w:pPr>
              <w:spacing w:line="480" w:lineRule="auto"/>
              <w:rPr>
                <w:rFonts w:cs="Arial"/>
              </w:rPr>
            </w:pPr>
          </w:p>
        </w:tc>
        <w:tc>
          <w:tcPr>
            <w:tcW w:w="2535" w:type="dxa"/>
            <w:tcBorders>
              <w:bottom w:val="single" w:sz="4" w:space="0" w:color="auto"/>
            </w:tcBorders>
          </w:tcPr>
          <w:p w:rsidR="00D0449A" w:rsidRPr="007D70A5" w:rsidRDefault="00D0449A" w:rsidP="00B64C60">
            <w:pPr>
              <w:spacing w:line="480" w:lineRule="auto"/>
              <w:jc w:val="center"/>
              <w:rPr>
                <w:rFonts w:cs="Arial"/>
                <w:b/>
              </w:rPr>
            </w:pPr>
            <w:r w:rsidRPr="007D70A5">
              <w:rPr>
                <w:rFonts w:cs="Arial"/>
                <w:b/>
              </w:rPr>
              <w:t>Model 1</w:t>
            </w:r>
          </w:p>
        </w:tc>
        <w:tc>
          <w:tcPr>
            <w:tcW w:w="2520" w:type="dxa"/>
            <w:tcBorders>
              <w:bottom w:val="single" w:sz="4" w:space="0" w:color="auto"/>
            </w:tcBorders>
          </w:tcPr>
          <w:p w:rsidR="00D0449A" w:rsidRPr="007D70A5" w:rsidRDefault="00D0449A" w:rsidP="00B64C60">
            <w:pPr>
              <w:spacing w:line="480" w:lineRule="auto"/>
              <w:jc w:val="center"/>
              <w:rPr>
                <w:rFonts w:cs="Arial"/>
                <w:b/>
              </w:rPr>
            </w:pPr>
            <w:r w:rsidRPr="007D70A5">
              <w:rPr>
                <w:rFonts w:cs="Arial"/>
                <w:b/>
              </w:rPr>
              <w:t>Model 2</w:t>
            </w:r>
          </w:p>
        </w:tc>
        <w:tc>
          <w:tcPr>
            <w:tcW w:w="2340" w:type="dxa"/>
            <w:tcBorders>
              <w:bottom w:val="single" w:sz="4" w:space="0" w:color="auto"/>
            </w:tcBorders>
          </w:tcPr>
          <w:p w:rsidR="00D0449A" w:rsidRPr="007D70A5" w:rsidRDefault="00D0449A" w:rsidP="00B64C60">
            <w:pPr>
              <w:spacing w:line="480" w:lineRule="auto"/>
              <w:jc w:val="center"/>
              <w:rPr>
                <w:rFonts w:cs="Arial"/>
                <w:b/>
              </w:rPr>
            </w:pPr>
            <w:r w:rsidRPr="007D70A5">
              <w:rPr>
                <w:rFonts w:cs="Arial"/>
                <w:b/>
              </w:rPr>
              <w:t>Model 3</w:t>
            </w:r>
          </w:p>
        </w:tc>
      </w:tr>
      <w:tr w:rsidR="00D0449A" w:rsidRPr="007D70A5" w:rsidTr="00B64C60">
        <w:tc>
          <w:tcPr>
            <w:tcW w:w="1870" w:type="dxa"/>
            <w:tcBorders>
              <w:top w:val="single" w:sz="4" w:space="0" w:color="auto"/>
            </w:tcBorders>
          </w:tcPr>
          <w:p w:rsidR="00D0449A" w:rsidRPr="007D70A5" w:rsidRDefault="00D0449A" w:rsidP="00B64C60">
            <w:pPr>
              <w:spacing w:line="480" w:lineRule="auto"/>
              <w:rPr>
                <w:rFonts w:cs="Arial"/>
                <w:b/>
              </w:rPr>
            </w:pPr>
            <w:r w:rsidRPr="007D70A5">
              <w:rPr>
                <w:rFonts w:cs="Arial"/>
                <w:b/>
              </w:rPr>
              <w:t>Intercept</w:t>
            </w:r>
          </w:p>
        </w:tc>
        <w:tc>
          <w:tcPr>
            <w:tcW w:w="2535"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78.198</w:t>
            </w:r>
            <w:r>
              <w:rPr>
                <w:rFonts w:ascii="Arial" w:hAnsi="Arial" w:cs="Arial"/>
                <w:color w:val="404040"/>
                <w:sz w:val="21"/>
                <w:szCs w:val="21"/>
              </w:rPr>
              <w:t>*</w:t>
            </w:r>
            <w:r w:rsidRPr="007D70A5">
              <w:rPr>
                <w:rFonts w:cs="Arial"/>
              </w:rPr>
              <w:t xml:space="preserve"> </w:t>
            </w:r>
          </w:p>
          <w:p w:rsidR="00D0449A" w:rsidRPr="007D70A5" w:rsidRDefault="00D0449A" w:rsidP="00B64C60">
            <w:pPr>
              <w:spacing w:line="480" w:lineRule="auto"/>
              <w:jc w:val="center"/>
              <w:rPr>
                <w:rFonts w:cs="Arial"/>
              </w:rPr>
            </w:pPr>
            <w:r w:rsidRPr="007D70A5">
              <w:rPr>
                <w:rFonts w:cs="Arial"/>
              </w:rPr>
              <w:t>(77.907,78.489)</w:t>
            </w:r>
          </w:p>
        </w:tc>
        <w:tc>
          <w:tcPr>
            <w:tcW w:w="2520"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76.823</w:t>
            </w:r>
            <w:r>
              <w:rPr>
                <w:rFonts w:ascii="Arial" w:hAnsi="Arial" w:cs="Arial"/>
                <w:color w:val="404040"/>
                <w:sz w:val="21"/>
                <w:szCs w:val="21"/>
              </w:rPr>
              <w:t>*</w:t>
            </w:r>
            <w:r w:rsidRPr="007D70A5">
              <w:rPr>
                <w:rFonts w:cs="Arial"/>
              </w:rPr>
              <w:t xml:space="preserve"> </w:t>
            </w:r>
          </w:p>
          <w:p w:rsidR="00D0449A" w:rsidRPr="007D70A5" w:rsidRDefault="00D0449A" w:rsidP="00B64C60">
            <w:pPr>
              <w:spacing w:line="480" w:lineRule="auto"/>
              <w:jc w:val="center"/>
              <w:rPr>
                <w:rFonts w:cs="Arial"/>
              </w:rPr>
            </w:pPr>
            <w:r w:rsidRPr="007D70A5">
              <w:rPr>
                <w:rFonts w:cs="Arial"/>
              </w:rPr>
              <w:t>(76.505,77.140)</w:t>
            </w:r>
          </w:p>
        </w:tc>
        <w:tc>
          <w:tcPr>
            <w:tcW w:w="2340"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77.864</w:t>
            </w:r>
            <w:r>
              <w:rPr>
                <w:rFonts w:ascii="Arial" w:hAnsi="Arial" w:cs="Arial"/>
                <w:color w:val="404040"/>
                <w:sz w:val="21"/>
                <w:szCs w:val="21"/>
              </w:rPr>
              <w:t>*</w:t>
            </w:r>
            <w:r w:rsidRPr="007D70A5">
              <w:rPr>
                <w:rFonts w:cs="Arial"/>
              </w:rPr>
              <w:t xml:space="preserve"> </w:t>
            </w:r>
          </w:p>
          <w:p w:rsidR="00D0449A" w:rsidRPr="007D70A5" w:rsidRDefault="00D0449A" w:rsidP="00B64C60">
            <w:pPr>
              <w:spacing w:line="480" w:lineRule="auto"/>
              <w:jc w:val="center"/>
              <w:rPr>
                <w:rFonts w:cs="Arial"/>
              </w:rPr>
            </w:pPr>
            <w:r w:rsidRPr="007D70A5">
              <w:rPr>
                <w:rFonts w:cs="Arial"/>
              </w:rPr>
              <w:t>(77.663,78.064)</w:t>
            </w:r>
          </w:p>
        </w:tc>
      </w:tr>
      <w:tr w:rsidR="00D0449A" w:rsidRPr="007D70A5" w:rsidTr="00B64C60">
        <w:tc>
          <w:tcPr>
            <w:tcW w:w="1870" w:type="dxa"/>
          </w:tcPr>
          <w:p w:rsidR="00D0449A" w:rsidRPr="007D70A5" w:rsidRDefault="00D0449A" w:rsidP="00B64C60">
            <w:pPr>
              <w:spacing w:line="480" w:lineRule="auto"/>
              <w:rPr>
                <w:rFonts w:cs="Arial"/>
                <w:b/>
                <w:vertAlign w:val="superscript"/>
              </w:rPr>
            </w:pPr>
            <w:r w:rsidRPr="007D70A5">
              <w:rPr>
                <w:rFonts w:cs="Arial"/>
                <w:b/>
              </w:rPr>
              <w:t>Time</w:t>
            </w:r>
            <w:r w:rsidRPr="00AB7D11">
              <w:rPr>
                <w:rFonts w:ascii="Arial" w:hAnsi="Arial" w:cs="Arial"/>
                <w:color w:val="404040"/>
                <w:sz w:val="21"/>
                <w:szCs w:val="21"/>
                <w:vertAlign w:val="superscript"/>
              </w:rPr>
              <w:t>‡</w:t>
            </w:r>
          </w:p>
        </w:tc>
        <w:tc>
          <w:tcPr>
            <w:tcW w:w="2535" w:type="dxa"/>
          </w:tcPr>
          <w:p w:rsidR="00D0449A" w:rsidRPr="007D70A5" w:rsidRDefault="00D0449A" w:rsidP="00B64C60">
            <w:pPr>
              <w:spacing w:line="480" w:lineRule="auto"/>
              <w:jc w:val="center"/>
              <w:rPr>
                <w:rFonts w:cs="Arial"/>
              </w:rPr>
            </w:pPr>
            <w:r w:rsidRPr="007D70A5">
              <w:rPr>
                <w:rFonts w:cs="Arial"/>
              </w:rPr>
              <w:t>-0.062</w:t>
            </w:r>
            <w:r>
              <w:rPr>
                <w:rFonts w:ascii="Arial" w:hAnsi="Arial" w:cs="Arial"/>
                <w:color w:val="404040"/>
                <w:sz w:val="21"/>
                <w:szCs w:val="21"/>
              </w:rPr>
              <w:t>*</w:t>
            </w:r>
            <w:r w:rsidRPr="007D70A5">
              <w:rPr>
                <w:rFonts w:cs="Arial"/>
              </w:rPr>
              <w:t xml:space="preserve"> </w:t>
            </w:r>
          </w:p>
          <w:p w:rsidR="00D0449A" w:rsidRPr="007D70A5" w:rsidRDefault="00D0449A" w:rsidP="00B64C60">
            <w:pPr>
              <w:spacing w:line="480" w:lineRule="auto"/>
              <w:jc w:val="center"/>
              <w:rPr>
                <w:rFonts w:cs="Arial"/>
              </w:rPr>
            </w:pPr>
            <w:r w:rsidRPr="007D70A5">
              <w:rPr>
                <w:rFonts w:cs="Arial"/>
              </w:rPr>
              <w:t>(-0.079,-0.044)</w:t>
            </w:r>
          </w:p>
        </w:tc>
        <w:tc>
          <w:tcPr>
            <w:tcW w:w="2520" w:type="dxa"/>
          </w:tcPr>
          <w:p w:rsidR="00D0449A" w:rsidRPr="007D70A5" w:rsidRDefault="00D0449A" w:rsidP="00B64C60">
            <w:pPr>
              <w:spacing w:line="480" w:lineRule="auto"/>
              <w:jc w:val="center"/>
              <w:rPr>
                <w:rFonts w:cs="Arial"/>
              </w:rPr>
            </w:pPr>
            <w:r w:rsidRPr="007D70A5">
              <w:rPr>
                <w:rFonts w:cs="Arial"/>
              </w:rPr>
              <w:t>-0.037</w:t>
            </w:r>
            <w:r>
              <w:rPr>
                <w:rFonts w:ascii="Arial" w:hAnsi="Arial" w:cs="Arial"/>
                <w:color w:val="404040"/>
                <w:sz w:val="21"/>
                <w:szCs w:val="21"/>
              </w:rPr>
              <w:t>*</w:t>
            </w:r>
            <w:r w:rsidRPr="007D70A5">
              <w:rPr>
                <w:rFonts w:cs="Arial"/>
              </w:rPr>
              <w:t xml:space="preserve"> </w:t>
            </w:r>
          </w:p>
          <w:p w:rsidR="00D0449A" w:rsidRPr="007D70A5" w:rsidRDefault="00D0449A" w:rsidP="00B64C60">
            <w:pPr>
              <w:spacing w:line="480" w:lineRule="auto"/>
              <w:jc w:val="center"/>
              <w:rPr>
                <w:rFonts w:cs="Arial"/>
              </w:rPr>
            </w:pPr>
            <w:r w:rsidRPr="007D70A5">
              <w:rPr>
                <w:rFonts w:cs="Arial"/>
              </w:rPr>
              <w:t>(-0.054,-0.020)</w:t>
            </w:r>
          </w:p>
        </w:tc>
        <w:tc>
          <w:tcPr>
            <w:tcW w:w="2340" w:type="dxa"/>
          </w:tcPr>
          <w:p w:rsidR="00D0449A" w:rsidRPr="007D70A5" w:rsidRDefault="00D0449A" w:rsidP="00B64C60">
            <w:pPr>
              <w:spacing w:line="480" w:lineRule="auto"/>
              <w:jc w:val="center"/>
              <w:rPr>
                <w:rFonts w:cs="Arial"/>
              </w:rPr>
            </w:pPr>
            <w:r w:rsidRPr="007D70A5">
              <w:rPr>
                <w:rFonts w:cs="Arial"/>
              </w:rPr>
              <w:t>-0.0379</w:t>
            </w:r>
            <w:r>
              <w:rPr>
                <w:rFonts w:ascii="Arial" w:hAnsi="Arial" w:cs="Arial"/>
                <w:color w:val="404040"/>
                <w:sz w:val="21"/>
                <w:szCs w:val="21"/>
              </w:rPr>
              <w:t>*</w:t>
            </w:r>
            <w:r w:rsidRPr="007D70A5">
              <w:rPr>
                <w:rFonts w:cs="Arial"/>
              </w:rPr>
              <w:t xml:space="preserve"> </w:t>
            </w:r>
          </w:p>
          <w:p w:rsidR="00D0449A" w:rsidRPr="007D70A5" w:rsidRDefault="00D0449A" w:rsidP="00B64C60">
            <w:pPr>
              <w:spacing w:line="480" w:lineRule="auto"/>
              <w:jc w:val="center"/>
              <w:rPr>
                <w:rFonts w:cs="Arial"/>
              </w:rPr>
            </w:pPr>
            <w:r w:rsidRPr="007D70A5">
              <w:rPr>
                <w:rFonts w:cs="Arial"/>
              </w:rPr>
              <w:t>(-0.057,-0.019)</w:t>
            </w:r>
          </w:p>
        </w:tc>
      </w:tr>
      <w:tr w:rsidR="00D0449A" w:rsidRPr="007D70A5" w:rsidTr="00B64C60">
        <w:tc>
          <w:tcPr>
            <w:tcW w:w="1870" w:type="dxa"/>
          </w:tcPr>
          <w:p w:rsidR="00D0449A" w:rsidRPr="007D70A5" w:rsidRDefault="00D0449A" w:rsidP="00B64C60">
            <w:pPr>
              <w:spacing w:line="480" w:lineRule="auto"/>
              <w:rPr>
                <w:rFonts w:cs="Arial"/>
                <w:b/>
                <w:vertAlign w:val="superscript"/>
              </w:rPr>
            </w:pPr>
            <w:r w:rsidRPr="007D70A5">
              <w:rPr>
                <w:rFonts w:cs="Arial"/>
                <w:b/>
              </w:rPr>
              <w:t>Time: Guidelines</w:t>
            </w:r>
            <w:r w:rsidRPr="00AB7D11">
              <w:rPr>
                <w:rFonts w:ascii="Arial" w:hAnsi="Arial" w:cs="Arial"/>
                <w:color w:val="404040"/>
                <w:sz w:val="21"/>
                <w:szCs w:val="21"/>
                <w:vertAlign w:val="superscript"/>
              </w:rPr>
              <w:t>‡</w:t>
            </w:r>
          </w:p>
        </w:tc>
        <w:tc>
          <w:tcPr>
            <w:tcW w:w="2535" w:type="dxa"/>
          </w:tcPr>
          <w:p w:rsidR="00D0449A" w:rsidRPr="007D70A5" w:rsidRDefault="00D0449A" w:rsidP="00B64C60">
            <w:pPr>
              <w:spacing w:line="480" w:lineRule="auto"/>
              <w:jc w:val="center"/>
              <w:rPr>
                <w:rFonts w:cs="Arial"/>
              </w:rPr>
            </w:pPr>
            <w:r w:rsidRPr="007D70A5">
              <w:rPr>
                <w:rFonts w:cs="Arial"/>
              </w:rPr>
              <w:t>-</w:t>
            </w:r>
          </w:p>
        </w:tc>
        <w:tc>
          <w:tcPr>
            <w:tcW w:w="2520" w:type="dxa"/>
          </w:tcPr>
          <w:p w:rsidR="00D0449A" w:rsidRPr="007D70A5" w:rsidRDefault="00D0449A" w:rsidP="00B64C60">
            <w:pPr>
              <w:spacing w:line="480" w:lineRule="auto"/>
              <w:jc w:val="center"/>
              <w:rPr>
                <w:rFonts w:cs="Arial"/>
              </w:rPr>
            </w:pPr>
            <w:r w:rsidRPr="007D70A5">
              <w:rPr>
                <w:rFonts w:cs="Arial"/>
              </w:rPr>
              <w:t>-0.037</w:t>
            </w:r>
            <w:r w:rsidRPr="00AB7D11">
              <w:rPr>
                <w:rFonts w:ascii="Arial" w:hAnsi="Arial" w:cs="Arial"/>
                <w:color w:val="404040"/>
                <w:sz w:val="21"/>
                <w:szCs w:val="21"/>
                <w:vertAlign w:val="superscript"/>
              </w:rPr>
              <w:t>†</w:t>
            </w:r>
            <w:r w:rsidRPr="007D70A5">
              <w:rPr>
                <w:rFonts w:cs="Arial"/>
              </w:rPr>
              <w:t xml:space="preserve"> </w:t>
            </w:r>
          </w:p>
          <w:p w:rsidR="00D0449A" w:rsidRPr="007D70A5" w:rsidRDefault="00D0449A" w:rsidP="00B64C60">
            <w:pPr>
              <w:spacing w:line="480" w:lineRule="auto"/>
              <w:jc w:val="center"/>
              <w:rPr>
                <w:rFonts w:cs="Arial"/>
              </w:rPr>
            </w:pPr>
            <w:r w:rsidRPr="007D70A5">
              <w:rPr>
                <w:rFonts w:cs="Arial"/>
              </w:rPr>
              <w:t>(-0.068,-0.007)</w:t>
            </w:r>
          </w:p>
        </w:tc>
        <w:tc>
          <w:tcPr>
            <w:tcW w:w="2340" w:type="dxa"/>
          </w:tcPr>
          <w:p w:rsidR="00D0449A" w:rsidRPr="007D70A5" w:rsidRDefault="00D0449A" w:rsidP="00B64C60">
            <w:pPr>
              <w:spacing w:line="480" w:lineRule="auto"/>
              <w:jc w:val="center"/>
              <w:rPr>
                <w:rFonts w:cs="Arial"/>
              </w:rPr>
            </w:pPr>
            <w:r w:rsidRPr="007D70A5">
              <w:rPr>
                <w:rFonts w:cs="Arial"/>
              </w:rPr>
              <w:t>-0.037</w:t>
            </w:r>
            <w:r w:rsidRPr="00AB7D11">
              <w:rPr>
                <w:rFonts w:ascii="Arial" w:hAnsi="Arial" w:cs="Arial"/>
                <w:color w:val="404040"/>
                <w:sz w:val="21"/>
                <w:szCs w:val="21"/>
                <w:vertAlign w:val="superscript"/>
              </w:rPr>
              <w:t>†</w:t>
            </w:r>
            <w:r w:rsidRPr="007D70A5">
              <w:rPr>
                <w:rFonts w:cs="Arial"/>
              </w:rPr>
              <w:t xml:space="preserve"> </w:t>
            </w:r>
          </w:p>
          <w:p w:rsidR="00D0449A" w:rsidRPr="007D70A5" w:rsidRDefault="00D0449A" w:rsidP="00B64C60">
            <w:pPr>
              <w:spacing w:line="480" w:lineRule="auto"/>
              <w:jc w:val="center"/>
              <w:rPr>
                <w:rFonts w:cs="Arial"/>
              </w:rPr>
            </w:pPr>
            <w:r w:rsidRPr="007D70A5">
              <w:rPr>
                <w:rFonts w:cs="Arial"/>
              </w:rPr>
              <w:t>(-0.065,-0.009)</w:t>
            </w:r>
          </w:p>
        </w:tc>
      </w:tr>
      <w:tr w:rsidR="00D0449A" w:rsidRPr="007D70A5" w:rsidTr="00B64C60">
        <w:tc>
          <w:tcPr>
            <w:tcW w:w="1870" w:type="dxa"/>
          </w:tcPr>
          <w:p w:rsidR="00D0449A" w:rsidRPr="007D70A5" w:rsidRDefault="00D0449A" w:rsidP="00B64C60">
            <w:pPr>
              <w:spacing w:line="480" w:lineRule="auto"/>
              <w:rPr>
                <w:rFonts w:cs="Arial"/>
                <w:b/>
              </w:rPr>
            </w:pPr>
            <w:r w:rsidRPr="007D70A5">
              <w:rPr>
                <w:rFonts w:cs="Arial"/>
                <w:b/>
              </w:rPr>
              <w:t>Guidelines</w:t>
            </w:r>
          </w:p>
        </w:tc>
        <w:tc>
          <w:tcPr>
            <w:tcW w:w="2535" w:type="dxa"/>
          </w:tcPr>
          <w:p w:rsidR="00D0449A" w:rsidRPr="007D70A5" w:rsidRDefault="00D0449A" w:rsidP="00B64C60">
            <w:pPr>
              <w:spacing w:line="480" w:lineRule="auto"/>
              <w:jc w:val="center"/>
              <w:rPr>
                <w:rFonts w:cs="Arial"/>
              </w:rPr>
            </w:pPr>
            <w:r w:rsidRPr="007D70A5">
              <w:rPr>
                <w:rFonts w:cs="Arial"/>
              </w:rPr>
              <w:t xml:space="preserve">0.161 </w:t>
            </w:r>
          </w:p>
          <w:p w:rsidR="00D0449A" w:rsidRPr="007D70A5" w:rsidRDefault="00D0449A" w:rsidP="00B64C60">
            <w:pPr>
              <w:spacing w:line="480" w:lineRule="auto"/>
              <w:jc w:val="center"/>
              <w:rPr>
                <w:rFonts w:cs="Arial"/>
              </w:rPr>
            </w:pPr>
            <w:r w:rsidRPr="007D70A5">
              <w:rPr>
                <w:rFonts w:cs="Arial"/>
              </w:rPr>
              <w:t>(-0.486, 0.808)</w:t>
            </w:r>
          </w:p>
        </w:tc>
        <w:tc>
          <w:tcPr>
            <w:tcW w:w="2520" w:type="dxa"/>
          </w:tcPr>
          <w:p w:rsidR="00D0449A" w:rsidRPr="007D70A5" w:rsidRDefault="00D0449A" w:rsidP="00B64C60">
            <w:pPr>
              <w:spacing w:line="480" w:lineRule="auto"/>
              <w:jc w:val="center"/>
              <w:rPr>
                <w:rFonts w:cs="Arial"/>
              </w:rPr>
            </w:pPr>
            <w:r w:rsidRPr="007D70A5">
              <w:rPr>
                <w:rFonts w:cs="Arial"/>
              </w:rPr>
              <w:t>-</w:t>
            </w:r>
          </w:p>
        </w:tc>
        <w:tc>
          <w:tcPr>
            <w:tcW w:w="2340" w:type="dxa"/>
          </w:tcPr>
          <w:p w:rsidR="00D0449A" w:rsidRPr="007D70A5" w:rsidRDefault="00D0449A" w:rsidP="00B64C60">
            <w:pPr>
              <w:spacing w:line="480" w:lineRule="auto"/>
              <w:jc w:val="center"/>
              <w:rPr>
                <w:rFonts w:cs="Arial"/>
              </w:rPr>
            </w:pPr>
            <w:r w:rsidRPr="007D70A5">
              <w:rPr>
                <w:rFonts w:cs="Arial"/>
              </w:rPr>
              <w:t xml:space="preserve">1.071 </w:t>
            </w:r>
          </w:p>
          <w:p w:rsidR="00D0449A" w:rsidRPr="007D70A5" w:rsidRDefault="00D0449A" w:rsidP="00B64C60">
            <w:pPr>
              <w:spacing w:line="480" w:lineRule="auto"/>
              <w:jc w:val="center"/>
              <w:rPr>
                <w:rFonts w:cs="Arial"/>
              </w:rPr>
            </w:pPr>
            <w:r w:rsidRPr="007D70A5">
              <w:rPr>
                <w:rFonts w:cs="Arial"/>
              </w:rPr>
              <w:t>(-0.034, 2.176)</w:t>
            </w:r>
          </w:p>
        </w:tc>
      </w:tr>
      <w:tr w:rsidR="00D0449A" w:rsidRPr="007D70A5" w:rsidTr="00B64C60">
        <w:tc>
          <w:tcPr>
            <w:tcW w:w="1870" w:type="dxa"/>
            <w:tcBorders>
              <w:bottom w:val="single" w:sz="4" w:space="0" w:color="auto"/>
            </w:tcBorders>
          </w:tcPr>
          <w:p w:rsidR="00D0449A" w:rsidRPr="007D70A5" w:rsidRDefault="00D0449A" w:rsidP="00B64C60">
            <w:pPr>
              <w:spacing w:line="480" w:lineRule="auto"/>
              <w:rPr>
                <w:rFonts w:cs="Arial"/>
              </w:rPr>
            </w:pPr>
          </w:p>
        </w:tc>
        <w:tc>
          <w:tcPr>
            <w:tcW w:w="2535" w:type="dxa"/>
            <w:tcBorders>
              <w:bottom w:val="single" w:sz="4" w:space="0" w:color="auto"/>
            </w:tcBorders>
          </w:tcPr>
          <w:p w:rsidR="00D0449A" w:rsidRPr="007D70A5" w:rsidRDefault="00D0449A" w:rsidP="00B64C60">
            <w:pPr>
              <w:spacing w:line="480" w:lineRule="auto"/>
              <w:jc w:val="center"/>
              <w:rPr>
                <w:rFonts w:cs="Arial"/>
              </w:rPr>
            </w:pPr>
          </w:p>
        </w:tc>
        <w:tc>
          <w:tcPr>
            <w:tcW w:w="2520" w:type="dxa"/>
            <w:tcBorders>
              <w:bottom w:val="single" w:sz="4" w:space="0" w:color="auto"/>
            </w:tcBorders>
          </w:tcPr>
          <w:p w:rsidR="00D0449A" w:rsidRPr="007D70A5" w:rsidRDefault="00D0449A" w:rsidP="00B64C60">
            <w:pPr>
              <w:spacing w:line="480" w:lineRule="auto"/>
              <w:jc w:val="center"/>
              <w:rPr>
                <w:rFonts w:cs="Arial"/>
              </w:rPr>
            </w:pPr>
          </w:p>
        </w:tc>
        <w:tc>
          <w:tcPr>
            <w:tcW w:w="2340" w:type="dxa"/>
            <w:tcBorders>
              <w:bottom w:val="single" w:sz="4" w:space="0" w:color="auto"/>
            </w:tcBorders>
          </w:tcPr>
          <w:p w:rsidR="00D0449A" w:rsidRPr="007D70A5" w:rsidRDefault="00D0449A" w:rsidP="00B64C60">
            <w:pPr>
              <w:spacing w:line="480" w:lineRule="auto"/>
              <w:jc w:val="center"/>
              <w:rPr>
                <w:rFonts w:cs="Arial"/>
              </w:rPr>
            </w:pPr>
          </w:p>
        </w:tc>
      </w:tr>
      <w:tr w:rsidR="00D0449A" w:rsidRPr="007D70A5" w:rsidTr="00B64C60">
        <w:tc>
          <w:tcPr>
            <w:tcW w:w="1870" w:type="dxa"/>
            <w:tcBorders>
              <w:top w:val="single" w:sz="4" w:space="0" w:color="auto"/>
            </w:tcBorders>
          </w:tcPr>
          <w:p w:rsidR="00D0449A" w:rsidRPr="007D70A5" w:rsidRDefault="00D0449A" w:rsidP="00B64C60">
            <w:pPr>
              <w:spacing w:line="480" w:lineRule="auto"/>
              <w:rPr>
                <w:rFonts w:cs="Arial"/>
                <w:b/>
                <w:vertAlign w:val="superscript"/>
              </w:rPr>
            </w:pPr>
            <w:r w:rsidRPr="007D70A5">
              <w:rPr>
                <w:rFonts w:cs="Arial"/>
                <w:b/>
              </w:rPr>
              <w:t>Adjusted R</w:t>
            </w:r>
            <w:r w:rsidRPr="007D70A5">
              <w:rPr>
                <w:rFonts w:cs="Arial"/>
                <w:b/>
                <w:vertAlign w:val="superscript"/>
              </w:rPr>
              <w:t>2</w:t>
            </w:r>
          </w:p>
        </w:tc>
        <w:tc>
          <w:tcPr>
            <w:tcW w:w="2535"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0.7977</w:t>
            </w:r>
          </w:p>
        </w:tc>
        <w:tc>
          <w:tcPr>
            <w:tcW w:w="2520"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0.8177</w:t>
            </w:r>
          </w:p>
        </w:tc>
        <w:tc>
          <w:tcPr>
            <w:tcW w:w="2340" w:type="dxa"/>
            <w:tcBorders>
              <w:top w:val="single" w:sz="4" w:space="0" w:color="auto"/>
            </w:tcBorders>
          </w:tcPr>
          <w:p w:rsidR="00D0449A" w:rsidRPr="007D70A5" w:rsidRDefault="00D0449A" w:rsidP="00B64C60">
            <w:pPr>
              <w:spacing w:line="480" w:lineRule="auto"/>
              <w:jc w:val="center"/>
              <w:rPr>
                <w:rFonts w:cs="Arial"/>
              </w:rPr>
            </w:pPr>
            <w:r w:rsidRPr="007D70A5">
              <w:rPr>
                <w:rFonts w:cs="Arial"/>
              </w:rPr>
              <w:t>0.8145</w:t>
            </w:r>
          </w:p>
        </w:tc>
      </w:tr>
      <w:tr w:rsidR="00D0449A" w:rsidRPr="007D70A5" w:rsidTr="00B64C60">
        <w:tc>
          <w:tcPr>
            <w:tcW w:w="1870" w:type="dxa"/>
            <w:tcBorders>
              <w:bottom w:val="single" w:sz="12" w:space="0" w:color="auto"/>
            </w:tcBorders>
          </w:tcPr>
          <w:p w:rsidR="00D0449A" w:rsidRPr="007D70A5" w:rsidRDefault="00D0449A" w:rsidP="00B64C60">
            <w:pPr>
              <w:spacing w:line="480" w:lineRule="auto"/>
              <w:rPr>
                <w:rFonts w:cs="Arial"/>
                <w:b/>
              </w:rPr>
            </w:pPr>
            <w:r w:rsidRPr="007D70A5">
              <w:rPr>
                <w:rFonts w:cs="Arial"/>
                <w:b/>
              </w:rPr>
              <w:t>AIC</w:t>
            </w:r>
          </w:p>
        </w:tc>
        <w:tc>
          <w:tcPr>
            <w:tcW w:w="2535" w:type="dxa"/>
            <w:tcBorders>
              <w:bottom w:val="single" w:sz="12" w:space="0" w:color="auto"/>
            </w:tcBorders>
          </w:tcPr>
          <w:p w:rsidR="00D0449A" w:rsidRPr="007D70A5" w:rsidRDefault="00D0449A" w:rsidP="00B64C60">
            <w:pPr>
              <w:spacing w:line="480" w:lineRule="auto"/>
              <w:jc w:val="center"/>
              <w:rPr>
                <w:rFonts w:cs="Arial"/>
              </w:rPr>
            </w:pPr>
            <w:r w:rsidRPr="007D70A5">
              <w:rPr>
                <w:rFonts w:cs="Arial"/>
              </w:rPr>
              <w:t>93.603</w:t>
            </w:r>
          </w:p>
        </w:tc>
        <w:tc>
          <w:tcPr>
            <w:tcW w:w="2520" w:type="dxa"/>
            <w:tcBorders>
              <w:bottom w:val="single" w:sz="12" w:space="0" w:color="auto"/>
            </w:tcBorders>
          </w:tcPr>
          <w:p w:rsidR="00D0449A" w:rsidRPr="007D70A5" w:rsidRDefault="00D0449A" w:rsidP="00B64C60">
            <w:pPr>
              <w:spacing w:line="480" w:lineRule="auto"/>
              <w:jc w:val="center"/>
              <w:rPr>
                <w:rFonts w:cs="Arial"/>
              </w:rPr>
            </w:pPr>
            <w:r w:rsidRPr="007D70A5">
              <w:rPr>
                <w:rFonts w:cs="Arial"/>
              </w:rPr>
              <w:t>87.375</w:t>
            </w:r>
          </w:p>
        </w:tc>
        <w:tc>
          <w:tcPr>
            <w:tcW w:w="2340" w:type="dxa"/>
            <w:tcBorders>
              <w:bottom w:val="single" w:sz="12" w:space="0" w:color="auto"/>
            </w:tcBorders>
          </w:tcPr>
          <w:p w:rsidR="00D0449A" w:rsidRPr="007D70A5" w:rsidRDefault="00D0449A" w:rsidP="00B64C60">
            <w:pPr>
              <w:spacing w:line="480" w:lineRule="auto"/>
              <w:jc w:val="center"/>
              <w:rPr>
                <w:rFonts w:cs="Arial"/>
              </w:rPr>
            </w:pPr>
            <w:r w:rsidRPr="007D70A5">
              <w:rPr>
                <w:rFonts w:cs="Arial"/>
              </w:rPr>
              <w:t>89.353</w:t>
            </w:r>
          </w:p>
        </w:tc>
      </w:tr>
      <w:tr w:rsidR="00D0449A" w:rsidRPr="007D70A5" w:rsidTr="00B64C60">
        <w:tc>
          <w:tcPr>
            <w:tcW w:w="9265" w:type="dxa"/>
            <w:gridSpan w:val="4"/>
            <w:tcBorders>
              <w:top w:val="single" w:sz="12" w:space="0" w:color="auto"/>
            </w:tcBorders>
          </w:tcPr>
          <w:p w:rsidR="00D0449A" w:rsidRPr="007D70A5" w:rsidRDefault="00D0449A" w:rsidP="00B64C60">
            <w:pPr>
              <w:spacing w:line="480" w:lineRule="auto"/>
              <w:rPr>
                <w:rFonts w:cs="Arial"/>
              </w:rPr>
            </w:pPr>
            <w:r w:rsidRPr="007D70A5">
              <w:rPr>
                <w:rFonts w:cs="Arial"/>
              </w:rPr>
              <w:t xml:space="preserve">Significance levels are denoted as: </w:t>
            </w:r>
            <w:r>
              <w:rPr>
                <w:rFonts w:ascii="Arial" w:hAnsi="Arial" w:cs="Arial"/>
                <w:color w:val="404040"/>
                <w:sz w:val="21"/>
                <w:szCs w:val="21"/>
              </w:rPr>
              <w:t>*</w:t>
            </w:r>
            <w:r w:rsidRPr="007D70A5">
              <w:rPr>
                <w:rFonts w:cs="Arial"/>
                <w:i/>
              </w:rPr>
              <w:t xml:space="preserve">p &lt; 0.001, </w:t>
            </w:r>
            <w:r w:rsidRPr="00AB7D11">
              <w:rPr>
                <w:rFonts w:ascii="Arial" w:hAnsi="Arial" w:cs="Arial"/>
                <w:color w:val="404040"/>
                <w:sz w:val="21"/>
                <w:szCs w:val="21"/>
                <w:vertAlign w:val="superscript"/>
              </w:rPr>
              <w:t>†</w:t>
            </w:r>
            <w:r w:rsidRPr="007D70A5">
              <w:rPr>
                <w:rFonts w:cs="Arial"/>
                <w:i/>
              </w:rPr>
              <w:t>p&lt;0.05.</w:t>
            </w:r>
            <w:r w:rsidRPr="007D70A5">
              <w:rPr>
                <w:rFonts w:cs="Arial"/>
              </w:rPr>
              <w:t xml:space="preserve"> </w:t>
            </w:r>
            <w:r w:rsidRPr="00AB7D11">
              <w:rPr>
                <w:rFonts w:ascii="Arial" w:hAnsi="Arial" w:cs="Arial"/>
                <w:color w:val="404040"/>
                <w:sz w:val="21"/>
                <w:szCs w:val="21"/>
                <w:vertAlign w:val="superscript"/>
              </w:rPr>
              <w:t>‡</w:t>
            </w:r>
            <w:r w:rsidRPr="007D70A5">
              <w:rPr>
                <w:rFonts w:cs="Arial"/>
              </w:rPr>
              <w:t xml:space="preserve"> For Model 2, the time variable was defined as (Time - 28) as described in Appendix. </w:t>
            </w:r>
            <w:r w:rsidRPr="00365E59">
              <w:rPr>
                <w:rFonts w:cs="Arial"/>
              </w:rPr>
              <w:t>See appendix text for model description.</w:t>
            </w:r>
          </w:p>
        </w:tc>
      </w:tr>
    </w:tbl>
    <w:p w:rsidR="00D0449A" w:rsidRPr="007D70A5" w:rsidRDefault="00D0449A" w:rsidP="00D0449A">
      <w:pPr>
        <w:spacing w:line="480" w:lineRule="auto"/>
        <w:rPr>
          <w:rFonts w:cs="Arial"/>
        </w:rPr>
      </w:pPr>
    </w:p>
    <w:p w:rsidR="00D0449A" w:rsidRPr="007D70A5" w:rsidRDefault="00D0449A" w:rsidP="00D0449A">
      <w:pPr>
        <w:spacing w:line="480" w:lineRule="auto"/>
        <w:rPr>
          <w:rFonts w:cs="Arial"/>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Default="00D0449A" w:rsidP="00D0449A">
      <w:pPr>
        <w:spacing w:line="480" w:lineRule="auto"/>
        <w:rPr>
          <w:rFonts w:cs="Arial"/>
          <w:b/>
          <w:highlight w:val="yellow"/>
        </w:rPr>
      </w:pPr>
    </w:p>
    <w:p w:rsidR="00D0449A" w:rsidRPr="007D70A5" w:rsidRDefault="00D0449A" w:rsidP="00D0449A">
      <w:pPr>
        <w:spacing w:line="480" w:lineRule="auto"/>
        <w:rPr>
          <w:rFonts w:cs="Arial"/>
        </w:rPr>
      </w:pPr>
      <w:r w:rsidRPr="00365E59">
        <w:rPr>
          <w:rFonts w:cs="Arial"/>
          <w:b/>
        </w:rPr>
        <w:t>Appendix Figure 3:</w:t>
      </w:r>
      <w:r w:rsidRPr="00365E59">
        <w:rPr>
          <w:rFonts w:cs="Arial"/>
        </w:rPr>
        <w:t xml:space="preserve"> Plots of Regression Results from the Interrupted Time-Series Analysis for Inappropriate Duration.</w:t>
      </w:r>
    </w:p>
    <w:p w:rsidR="00D0449A" w:rsidRPr="007D70A5" w:rsidRDefault="00D0449A" w:rsidP="00D0449A">
      <w:pPr>
        <w:spacing w:line="480" w:lineRule="auto"/>
        <w:rPr>
          <w:rFonts w:cs="Arial"/>
        </w:rPr>
      </w:pPr>
      <w:r w:rsidRPr="00BB1EC4">
        <w:rPr>
          <w:rFonts w:cs="Arial"/>
          <w:noProof/>
        </w:rPr>
        <w:drawing>
          <wp:inline distT="0" distB="0" distL="0" distR="0" wp14:anchorId="0AF057F7" wp14:editId="416B53DB">
            <wp:extent cx="5943600" cy="1977591"/>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1977591"/>
                    </a:xfrm>
                    <a:prstGeom prst="rect">
                      <a:avLst/>
                    </a:prstGeom>
                    <a:noFill/>
                    <a:ln>
                      <a:noFill/>
                    </a:ln>
                  </pic:spPr>
                </pic:pic>
              </a:graphicData>
            </a:graphic>
          </wp:inline>
        </w:drawing>
      </w:r>
    </w:p>
    <w:p w:rsidR="00D0449A" w:rsidRPr="00365E59" w:rsidRDefault="00D0449A" w:rsidP="00D0449A">
      <w:pPr>
        <w:spacing w:line="480" w:lineRule="auto"/>
      </w:pPr>
      <w:r>
        <w:t xml:space="preserve">Note. Dashed red line corresponds release of the clinical practice guideline. The black lines demonstrate the percentage of inappropriate prescriptions. The solid red lines represent before and after trend lines from the time-series analysis. </w:t>
      </w:r>
      <w:r w:rsidRPr="00365E59">
        <w:rPr>
          <w:rFonts w:cs="Arial"/>
        </w:rPr>
        <w:t>See appendix text for model description.</w:t>
      </w:r>
      <w:r w:rsidRPr="007D70A5">
        <w:rPr>
          <w:rFonts w:cs="Arial"/>
        </w:rPr>
        <w:t xml:space="preserve"> </w:t>
      </w:r>
    </w:p>
    <w:p w:rsidR="00D0449A" w:rsidRPr="007D70A5" w:rsidRDefault="00D0449A" w:rsidP="00D0449A">
      <w:pPr>
        <w:spacing w:line="480" w:lineRule="auto"/>
        <w:rPr>
          <w:rFonts w:cs="Arial"/>
        </w:rPr>
      </w:pPr>
      <w:r w:rsidRPr="007D70A5">
        <w:rPr>
          <w:rFonts w:cs="Arial"/>
        </w:rPr>
        <w:t>Appendix references:</w:t>
      </w:r>
    </w:p>
    <w:p w:rsidR="00D0449A" w:rsidRPr="007D70A5" w:rsidRDefault="00D0449A" w:rsidP="00D0449A">
      <w:pPr>
        <w:pStyle w:val="ListParagraph"/>
        <w:numPr>
          <w:ilvl w:val="0"/>
          <w:numId w:val="1"/>
        </w:numPr>
        <w:spacing w:line="480" w:lineRule="auto"/>
        <w:rPr>
          <w:rFonts w:asciiTheme="minorHAnsi" w:eastAsia="Times New Roman" w:hAnsiTheme="minorHAnsi" w:cs="Arial"/>
          <w:color w:val="000000" w:themeColor="text1"/>
        </w:rPr>
      </w:pPr>
      <w:r w:rsidRPr="007D70A5">
        <w:rPr>
          <w:rFonts w:asciiTheme="minorHAnsi" w:eastAsia="Times New Roman" w:hAnsiTheme="minorHAnsi" w:cs="Arial"/>
          <w:color w:val="000000" w:themeColor="text1"/>
          <w:shd w:val="clear" w:color="auto" w:fill="FFFFFF"/>
        </w:rPr>
        <w:t>Calonico, S., M. D. Cattaneo, and R. Titiunik. 2015b. </w:t>
      </w:r>
      <w:r w:rsidRPr="007D70A5">
        <w:rPr>
          <w:rFonts w:asciiTheme="minorHAnsi" w:eastAsia="Times New Roman" w:hAnsiTheme="minorHAnsi" w:cs="Arial"/>
          <w:color w:val="000000" w:themeColor="text1"/>
        </w:rPr>
        <w:t>rdrobust: An R Package for Robust Nonparametric Inference in Regression-Discontinuity Designs.</w:t>
      </w:r>
      <w:r w:rsidRPr="007D70A5">
        <w:rPr>
          <w:rFonts w:asciiTheme="minorHAnsi" w:eastAsia="Times New Roman" w:hAnsiTheme="minorHAnsi" w:cs="Arial"/>
          <w:color w:val="000000" w:themeColor="text1"/>
          <w:shd w:val="clear" w:color="auto" w:fill="FFFFFF"/>
        </w:rPr>
        <w:t> </w:t>
      </w:r>
      <w:r w:rsidRPr="007D70A5">
        <w:rPr>
          <w:rFonts w:asciiTheme="minorHAnsi" w:eastAsia="Times New Roman" w:hAnsiTheme="minorHAnsi" w:cs="Arial"/>
          <w:i/>
          <w:iCs/>
          <w:color w:val="000000" w:themeColor="text1"/>
        </w:rPr>
        <w:t>R Journal</w:t>
      </w:r>
      <w:r w:rsidRPr="007D70A5">
        <w:rPr>
          <w:rFonts w:asciiTheme="minorHAnsi" w:eastAsia="Times New Roman" w:hAnsiTheme="minorHAnsi" w:cs="Arial"/>
          <w:color w:val="000000" w:themeColor="text1"/>
          <w:shd w:val="clear" w:color="auto" w:fill="FFFFFF"/>
        </w:rPr>
        <w:t> 7(1): 38-51.</w:t>
      </w:r>
    </w:p>
    <w:p w:rsidR="00D0449A" w:rsidRPr="007D70A5" w:rsidRDefault="00D0449A" w:rsidP="00D0449A">
      <w:pPr>
        <w:pStyle w:val="ListParagraph"/>
        <w:numPr>
          <w:ilvl w:val="0"/>
          <w:numId w:val="1"/>
        </w:numPr>
        <w:spacing w:line="480" w:lineRule="auto"/>
        <w:rPr>
          <w:rFonts w:asciiTheme="minorHAnsi" w:eastAsia="Times New Roman" w:hAnsiTheme="minorHAnsi" w:cs="Arial"/>
          <w:color w:val="000000" w:themeColor="text1"/>
        </w:rPr>
      </w:pPr>
      <w:r w:rsidRPr="007D70A5">
        <w:rPr>
          <w:rFonts w:asciiTheme="minorHAnsi" w:eastAsia="Times New Roman" w:hAnsiTheme="minorHAnsi" w:cs="Arial"/>
          <w:color w:val="000000" w:themeColor="text1"/>
          <w:shd w:val="clear" w:color="auto" w:fill="FFFFFF"/>
        </w:rPr>
        <w:t>Calonico, S., M. D. Cattaneo, and R. Titiunik. 2014. </w:t>
      </w:r>
      <w:r w:rsidRPr="007D70A5">
        <w:rPr>
          <w:rFonts w:asciiTheme="minorHAnsi" w:eastAsia="Times New Roman" w:hAnsiTheme="minorHAnsi" w:cs="Arial"/>
          <w:color w:val="000000" w:themeColor="text1"/>
        </w:rPr>
        <w:t>Robust Nonparametric Confidence Intervals for Regression-Discontinuity Designs.</w:t>
      </w:r>
      <w:r w:rsidRPr="007D70A5">
        <w:rPr>
          <w:rFonts w:asciiTheme="minorHAnsi" w:eastAsia="Times New Roman" w:hAnsiTheme="minorHAnsi" w:cs="Arial"/>
          <w:color w:val="000000" w:themeColor="text1"/>
          <w:shd w:val="clear" w:color="auto" w:fill="FFFFFF"/>
        </w:rPr>
        <w:t> </w:t>
      </w:r>
      <w:r w:rsidRPr="007D70A5">
        <w:rPr>
          <w:rFonts w:asciiTheme="minorHAnsi" w:eastAsia="Times New Roman" w:hAnsiTheme="minorHAnsi" w:cs="Arial"/>
          <w:i/>
          <w:iCs/>
          <w:color w:val="000000" w:themeColor="text1"/>
        </w:rPr>
        <w:t>Econometrica</w:t>
      </w:r>
      <w:r w:rsidRPr="007D70A5">
        <w:rPr>
          <w:rFonts w:asciiTheme="minorHAnsi" w:eastAsia="Times New Roman" w:hAnsiTheme="minorHAnsi" w:cs="Arial"/>
          <w:color w:val="000000" w:themeColor="text1"/>
          <w:shd w:val="clear" w:color="auto" w:fill="FFFFFF"/>
        </w:rPr>
        <w:t> 82(6): 2295-2326.</w:t>
      </w:r>
    </w:p>
    <w:p w:rsidR="00D0449A" w:rsidRPr="007D70A5" w:rsidRDefault="00D0449A" w:rsidP="00D0449A">
      <w:pPr>
        <w:pStyle w:val="ListParagraph"/>
        <w:numPr>
          <w:ilvl w:val="0"/>
          <w:numId w:val="1"/>
        </w:numPr>
        <w:spacing w:line="480" w:lineRule="auto"/>
        <w:rPr>
          <w:rFonts w:asciiTheme="minorHAnsi" w:eastAsia="Times New Roman" w:hAnsiTheme="minorHAnsi" w:cs="Arial"/>
          <w:color w:val="000000" w:themeColor="text1"/>
        </w:rPr>
      </w:pPr>
      <w:r w:rsidRPr="007D70A5">
        <w:rPr>
          <w:rFonts w:asciiTheme="minorHAnsi" w:eastAsia="Times New Roman" w:hAnsiTheme="minorHAnsi" w:cs="Arial"/>
          <w:color w:val="000000" w:themeColor="text1"/>
          <w:shd w:val="clear" w:color="auto" w:fill="FFFFFF"/>
        </w:rPr>
        <w:lastRenderedPageBreak/>
        <w:t>Calonico, S., M. D. Cattaneo, and M. H. Farrell. 2017. </w:t>
      </w:r>
      <w:r w:rsidRPr="007D70A5">
        <w:rPr>
          <w:rFonts w:asciiTheme="minorHAnsi" w:eastAsia="Times New Roman" w:hAnsiTheme="minorHAnsi" w:cs="Arial"/>
          <w:color w:val="000000" w:themeColor="text1"/>
        </w:rPr>
        <w:t>On the Effect of Bias Estimation on Coverage Accuracy in Nonparametric Inference.</w:t>
      </w:r>
      <w:r w:rsidRPr="007D70A5">
        <w:rPr>
          <w:rFonts w:asciiTheme="minorHAnsi" w:eastAsia="Times New Roman" w:hAnsiTheme="minorHAnsi" w:cs="Arial"/>
          <w:color w:val="000000" w:themeColor="text1"/>
          <w:shd w:val="clear" w:color="auto" w:fill="FFFFFF"/>
        </w:rPr>
        <w:t> </w:t>
      </w:r>
      <w:r w:rsidRPr="007D70A5">
        <w:rPr>
          <w:rFonts w:asciiTheme="minorHAnsi" w:eastAsia="Times New Roman" w:hAnsiTheme="minorHAnsi" w:cs="Arial"/>
          <w:i/>
          <w:iCs/>
          <w:color w:val="000000" w:themeColor="text1"/>
        </w:rPr>
        <w:t>Journal of the American Statistical Association</w:t>
      </w:r>
      <w:r w:rsidRPr="007D70A5">
        <w:rPr>
          <w:rFonts w:asciiTheme="minorHAnsi" w:eastAsia="Times New Roman" w:hAnsiTheme="minorHAnsi" w:cs="Arial"/>
          <w:color w:val="000000" w:themeColor="text1"/>
          <w:shd w:val="clear" w:color="auto" w:fill="FFFFFF"/>
        </w:rPr>
        <w:t>, forthcoming.</w:t>
      </w:r>
    </w:p>
    <w:p w:rsidR="00D0449A" w:rsidRDefault="00D0449A" w:rsidP="00D0449A"/>
    <w:p w:rsidR="00D0449A" w:rsidRDefault="00D0449A" w:rsidP="00D0449A">
      <w:pPr>
        <w:spacing w:line="480" w:lineRule="auto"/>
      </w:pPr>
    </w:p>
    <w:p w:rsidR="00807B62" w:rsidRDefault="00807B62"/>
    <w:sectPr w:rsidR="00807B62" w:rsidSect="008E52C1">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C7F" w:rsidRDefault="00287C7F">
      <w:pPr>
        <w:spacing w:after="0" w:line="240" w:lineRule="auto"/>
      </w:pPr>
      <w:r>
        <w:separator/>
      </w:r>
    </w:p>
  </w:endnote>
  <w:endnote w:type="continuationSeparator" w:id="0">
    <w:p w:rsidR="00287C7F" w:rsidRDefault="00287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1575597"/>
      <w:docPartObj>
        <w:docPartGallery w:val="Page Numbers (Bottom of Page)"/>
        <w:docPartUnique/>
      </w:docPartObj>
    </w:sdtPr>
    <w:sdtEndPr>
      <w:rPr>
        <w:noProof/>
      </w:rPr>
    </w:sdtEndPr>
    <w:sdtContent>
      <w:p w:rsidR="00044B0E" w:rsidRDefault="00D0449A">
        <w:pPr>
          <w:pStyle w:val="Footer"/>
          <w:jc w:val="right"/>
        </w:pPr>
        <w:r>
          <w:fldChar w:fldCharType="begin"/>
        </w:r>
        <w:r>
          <w:instrText xml:space="preserve"> PAGE   \* MERGEFORMAT </w:instrText>
        </w:r>
        <w:r>
          <w:fldChar w:fldCharType="separate"/>
        </w:r>
        <w:r w:rsidR="00675A82">
          <w:rPr>
            <w:noProof/>
          </w:rPr>
          <w:t>1</w:t>
        </w:r>
        <w:r>
          <w:rPr>
            <w:noProof/>
          </w:rPr>
          <w:fldChar w:fldCharType="end"/>
        </w:r>
      </w:p>
    </w:sdtContent>
  </w:sdt>
  <w:p w:rsidR="00044B0E" w:rsidRDefault="00287C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C7F" w:rsidRDefault="00287C7F">
      <w:pPr>
        <w:spacing w:after="0" w:line="240" w:lineRule="auto"/>
      </w:pPr>
      <w:r>
        <w:separator/>
      </w:r>
    </w:p>
  </w:footnote>
  <w:footnote w:type="continuationSeparator" w:id="0">
    <w:p w:rsidR="00287C7F" w:rsidRDefault="00287C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706A35"/>
    <w:multiLevelType w:val="hybridMultilevel"/>
    <w:tmpl w:val="3956E82A"/>
    <w:lvl w:ilvl="0" w:tplc="04090011">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49A"/>
    <w:rsid w:val="0010439F"/>
    <w:rsid w:val="00287C7F"/>
    <w:rsid w:val="002F1A0A"/>
    <w:rsid w:val="003975B0"/>
    <w:rsid w:val="00424997"/>
    <w:rsid w:val="00581691"/>
    <w:rsid w:val="00660651"/>
    <w:rsid w:val="00675A82"/>
    <w:rsid w:val="00680A7C"/>
    <w:rsid w:val="00807B62"/>
    <w:rsid w:val="008E3B17"/>
    <w:rsid w:val="009C446D"/>
    <w:rsid w:val="00A53195"/>
    <w:rsid w:val="00A608F9"/>
    <w:rsid w:val="00AC5275"/>
    <w:rsid w:val="00BD3418"/>
    <w:rsid w:val="00C202B9"/>
    <w:rsid w:val="00D0449A"/>
    <w:rsid w:val="00D63BAC"/>
    <w:rsid w:val="00D73C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49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44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0449A"/>
    <w:pPr>
      <w:spacing w:after="0" w:line="240" w:lineRule="auto"/>
      <w:ind w:left="720"/>
      <w:contextualSpacing/>
    </w:pPr>
    <w:rPr>
      <w:rFonts w:ascii="Arial" w:hAnsi="Arial"/>
    </w:rPr>
  </w:style>
  <w:style w:type="paragraph" w:styleId="Footer">
    <w:name w:val="footer"/>
    <w:basedOn w:val="Normal"/>
    <w:link w:val="FooterChar"/>
    <w:uiPriority w:val="99"/>
    <w:unhideWhenUsed/>
    <w:rsid w:val="00D044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4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49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44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0449A"/>
    <w:pPr>
      <w:spacing w:after="0" w:line="240" w:lineRule="auto"/>
      <w:ind w:left="720"/>
      <w:contextualSpacing/>
    </w:pPr>
    <w:rPr>
      <w:rFonts w:ascii="Arial" w:hAnsi="Arial"/>
    </w:rPr>
  </w:style>
  <w:style w:type="paragraph" w:styleId="Footer">
    <w:name w:val="footer"/>
    <w:basedOn w:val="Normal"/>
    <w:link w:val="FooterChar"/>
    <w:uiPriority w:val="99"/>
    <w:unhideWhenUsed/>
    <w:rsid w:val="00D044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nul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2403</Words>
  <Characters>13698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16069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Durkin</dc:creator>
  <cp:lastModifiedBy>Bender, Ellen</cp:lastModifiedBy>
  <cp:revision>2</cp:revision>
  <dcterms:created xsi:type="dcterms:W3CDTF">2018-10-16T19:51:00Z</dcterms:created>
  <dcterms:modified xsi:type="dcterms:W3CDTF">2018-10-16T19:51:00Z</dcterms:modified>
</cp:coreProperties>
</file>