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9929D" w14:textId="77777777" w:rsidR="00481FD7" w:rsidRPr="008E4A8B" w:rsidRDefault="00481FD7" w:rsidP="00481FD7">
      <w:pPr>
        <w:widowControl w:val="0"/>
        <w:autoSpaceDE w:val="0"/>
        <w:autoSpaceDN w:val="0"/>
        <w:adjustRightInd w:val="0"/>
        <w:spacing w:line="360" w:lineRule="auto"/>
        <w:ind w:left="480" w:hanging="480"/>
        <w:rPr>
          <w:rFonts w:ascii="Arial" w:hAnsi="Arial" w:cs="Arial"/>
          <w:b/>
          <w:sz w:val="22"/>
          <w:szCs w:val="22"/>
        </w:rPr>
      </w:pPr>
      <w:bookmarkStart w:id="0" w:name="_GoBack"/>
      <w:bookmarkEnd w:id="0"/>
      <w:r w:rsidRPr="008E4A8B">
        <w:rPr>
          <w:rFonts w:ascii="Arial" w:hAnsi="Arial" w:cs="Arial"/>
          <w:b/>
          <w:sz w:val="22"/>
          <w:szCs w:val="22"/>
        </w:rPr>
        <w:t>Supplemental materials</w:t>
      </w:r>
    </w:p>
    <w:p w14:paraId="687A554B" w14:textId="40231C80" w:rsidR="00481FD7" w:rsidRPr="008E4A8B" w:rsidRDefault="00481FD7" w:rsidP="00481FD7">
      <w:pPr>
        <w:spacing w:line="360" w:lineRule="auto"/>
        <w:rPr>
          <w:rFonts w:ascii="Arial" w:hAnsi="Arial" w:cs="Arial"/>
          <w:sz w:val="22"/>
          <w:szCs w:val="22"/>
        </w:rPr>
      </w:pPr>
      <w:r w:rsidRPr="008E4A8B">
        <w:rPr>
          <w:rFonts w:ascii="Arial" w:hAnsi="Arial" w:cs="Arial"/>
          <w:sz w:val="22"/>
          <w:szCs w:val="22"/>
        </w:rPr>
        <w:t xml:space="preserve">Touch </w:t>
      </w:r>
      <w:r w:rsidR="00652188">
        <w:rPr>
          <w:rFonts w:ascii="Arial" w:hAnsi="Arial" w:cs="Arial"/>
          <w:sz w:val="22"/>
          <w:szCs w:val="22"/>
        </w:rPr>
        <w:t>engages</w:t>
      </w:r>
      <w:r w:rsidRPr="008E4A8B">
        <w:rPr>
          <w:rFonts w:ascii="Arial" w:hAnsi="Arial" w:cs="Arial"/>
          <w:sz w:val="22"/>
          <w:szCs w:val="22"/>
        </w:rPr>
        <w:t xml:space="preserve"> visual spatial contextual processing</w:t>
      </w:r>
    </w:p>
    <w:p w14:paraId="38270A4B" w14:textId="77777777" w:rsidR="00481FD7" w:rsidRPr="00106929" w:rsidRDefault="00481FD7" w:rsidP="00481FD7">
      <w:pPr>
        <w:spacing w:line="480" w:lineRule="auto"/>
        <w:rPr>
          <w:rFonts w:ascii="Arial" w:hAnsi="Arial" w:cs="Arial"/>
          <w:color w:val="000000" w:themeColor="text1"/>
          <w:sz w:val="22"/>
          <w:szCs w:val="22"/>
          <w:lang w:val="es-MX"/>
        </w:rPr>
      </w:pPr>
      <w:r w:rsidRPr="00505382">
        <w:rPr>
          <w:rFonts w:ascii="Arial" w:hAnsi="Arial" w:cs="Arial"/>
          <w:color w:val="000000" w:themeColor="text1"/>
          <w:sz w:val="22"/>
          <w:szCs w:val="22"/>
          <w:lang w:val="es-MX"/>
        </w:rPr>
        <w:t>Alexis Pérez-Bellido, Ryan D. Pappal</w:t>
      </w:r>
      <w:r w:rsidRPr="00106929">
        <w:rPr>
          <w:rFonts w:ascii="Arial" w:hAnsi="Arial" w:cs="Arial"/>
          <w:color w:val="000000" w:themeColor="text1"/>
          <w:sz w:val="22"/>
          <w:szCs w:val="22"/>
          <w:lang w:val="es-MX"/>
        </w:rPr>
        <w:t>, Jeffrey M. Yau</w:t>
      </w:r>
    </w:p>
    <w:p w14:paraId="4CC2B63D" w14:textId="77777777" w:rsidR="00481FD7" w:rsidRPr="0060637F" w:rsidRDefault="00481FD7" w:rsidP="00481FD7">
      <w:pPr>
        <w:widowControl w:val="0"/>
        <w:autoSpaceDE w:val="0"/>
        <w:autoSpaceDN w:val="0"/>
        <w:adjustRightInd w:val="0"/>
        <w:spacing w:line="360" w:lineRule="auto"/>
        <w:ind w:left="480" w:hanging="480"/>
        <w:rPr>
          <w:rFonts w:ascii="Arial" w:hAnsi="Arial" w:cs="Arial"/>
          <w:sz w:val="22"/>
          <w:szCs w:val="22"/>
        </w:rPr>
      </w:pPr>
    </w:p>
    <w:p w14:paraId="64D61794" w14:textId="77777777" w:rsidR="00481FD7" w:rsidRPr="00C92071" w:rsidRDefault="00481FD7" w:rsidP="00481FD7">
      <w:pPr>
        <w:spacing w:line="360" w:lineRule="auto"/>
        <w:rPr>
          <w:rFonts w:ascii="Arial" w:hAnsi="Arial" w:cs="Arial"/>
          <w:i/>
          <w:szCs w:val="22"/>
          <w:u w:val="single"/>
        </w:rPr>
      </w:pPr>
      <w:r w:rsidRPr="00C92071">
        <w:rPr>
          <w:rFonts w:ascii="Arial" w:hAnsi="Arial" w:cs="Arial"/>
          <w:i/>
          <w:szCs w:val="22"/>
          <w:u w:val="single"/>
        </w:rPr>
        <w:t>Hypothesis driven analyses on both base orientations fitted independently</w:t>
      </w:r>
    </w:p>
    <w:p w14:paraId="0453654E" w14:textId="77777777" w:rsidR="00481FD7" w:rsidRPr="0060637F" w:rsidRDefault="00481FD7" w:rsidP="00481FD7">
      <w:pPr>
        <w:spacing w:line="360" w:lineRule="auto"/>
        <w:rPr>
          <w:rFonts w:ascii="Arial" w:hAnsi="Arial" w:cs="Arial"/>
          <w:i/>
          <w:sz w:val="22"/>
          <w:szCs w:val="22"/>
        </w:rPr>
      </w:pPr>
      <w:r w:rsidRPr="0060637F">
        <w:rPr>
          <w:rFonts w:ascii="Arial" w:hAnsi="Arial" w:cs="Arial"/>
          <w:i/>
          <w:sz w:val="22"/>
          <w:szCs w:val="22"/>
        </w:rPr>
        <w:t>1 Tilt illusion with visual surround</w:t>
      </w:r>
    </w:p>
    <w:p w14:paraId="0E622154" w14:textId="77777777" w:rsidR="00481FD7" w:rsidRPr="0060637F" w:rsidRDefault="00481FD7" w:rsidP="00481FD7">
      <w:pPr>
        <w:spacing w:line="360" w:lineRule="auto"/>
        <w:rPr>
          <w:rFonts w:ascii="Arial" w:hAnsi="Arial" w:cs="Arial"/>
          <w:sz w:val="22"/>
          <w:szCs w:val="22"/>
        </w:rPr>
      </w:pPr>
      <w:r w:rsidRPr="0060637F">
        <w:rPr>
          <w:rFonts w:ascii="Arial" w:hAnsi="Arial" w:cs="Arial"/>
          <w:sz w:val="22"/>
          <w:szCs w:val="22"/>
        </w:rPr>
        <w:t xml:space="preserve">In order to assess if the visual-only surrounds induced a visual tilt illusion we tested whether the PSE in the V condition was significantly larger than the PSE in the </w:t>
      </w:r>
      <w:r>
        <w:rPr>
          <w:rFonts w:ascii="Arial" w:hAnsi="Arial" w:cs="Arial"/>
          <w:sz w:val="22"/>
          <w:szCs w:val="22"/>
        </w:rPr>
        <w:t>N</w:t>
      </w:r>
      <w:r w:rsidRPr="0060637F">
        <w:rPr>
          <w:rFonts w:ascii="Arial" w:hAnsi="Arial" w:cs="Arial"/>
          <w:sz w:val="22"/>
          <w:szCs w:val="22"/>
        </w:rPr>
        <w:t xml:space="preserve"> condition. A one tailed paired t-test showed that the PSE in the V condition was 0.65</w:t>
      </w:r>
      <w:r w:rsidRPr="0060637F">
        <w:rPr>
          <w:rFonts w:ascii="Arial" w:hAnsi="Arial" w:cs="Arial"/>
          <w:sz w:val="22"/>
          <w:szCs w:val="22"/>
          <w:vertAlign w:val="superscript"/>
        </w:rPr>
        <w:t>o</w:t>
      </w:r>
      <w:r w:rsidRPr="0060637F">
        <w:rPr>
          <w:rFonts w:ascii="Arial" w:hAnsi="Arial" w:cs="Arial"/>
          <w:sz w:val="22"/>
          <w:szCs w:val="22"/>
        </w:rPr>
        <w:t xml:space="preserve"> larger than in the B condition</w:t>
      </w:r>
      <w:r w:rsidRPr="0060637F">
        <w:rPr>
          <w:rFonts w:ascii="Arial" w:hAnsi="Arial" w:cs="Arial"/>
        </w:rPr>
        <w:t xml:space="preserve"> (</w:t>
      </w:r>
      <w:proofErr w:type="gramStart"/>
      <w:r w:rsidRPr="0060637F">
        <w:rPr>
          <w:rFonts w:ascii="Arial" w:hAnsi="Arial" w:cs="Arial"/>
          <w:sz w:val="22"/>
          <w:szCs w:val="22"/>
        </w:rPr>
        <w:t>t</w:t>
      </w:r>
      <w:r w:rsidRPr="0060637F">
        <w:rPr>
          <w:rFonts w:ascii="Arial" w:hAnsi="Arial" w:cs="Arial"/>
          <w:sz w:val="22"/>
          <w:szCs w:val="22"/>
          <w:vertAlign w:val="subscript"/>
        </w:rPr>
        <w:t>(</w:t>
      </w:r>
      <w:proofErr w:type="gramEnd"/>
      <w:r w:rsidRPr="0060637F">
        <w:rPr>
          <w:rFonts w:ascii="Arial" w:hAnsi="Arial" w:cs="Arial"/>
          <w:sz w:val="22"/>
          <w:szCs w:val="22"/>
          <w:vertAlign w:val="subscript"/>
        </w:rPr>
        <w:t>17)</w:t>
      </w:r>
      <w:r w:rsidRPr="0060637F">
        <w:rPr>
          <w:rFonts w:ascii="Arial" w:hAnsi="Arial" w:cs="Arial"/>
          <w:sz w:val="22"/>
          <w:szCs w:val="22"/>
        </w:rPr>
        <w:t xml:space="preserve"> = 5.518, P &lt; 0.001, Cohen's d = 1.47). This result demonstrates that the surrounds effectively biased inward the subjective orientation percepts in both central gratings, and therefore an increment in their orientation difference (positive shift in the PSE) is required to counteract the visual tilt illusion effect.</w:t>
      </w:r>
    </w:p>
    <w:p w14:paraId="65A54BA3" w14:textId="77777777" w:rsidR="00481FD7" w:rsidRPr="0060637F" w:rsidRDefault="00481FD7" w:rsidP="00481FD7">
      <w:pPr>
        <w:spacing w:line="360" w:lineRule="auto"/>
        <w:rPr>
          <w:rFonts w:ascii="Arial" w:hAnsi="Arial" w:cs="Arial"/>
          <w:sz w:val="22"/>
          <w:szCs w:val="22"/>
        </w:rPr>
      </w:pPr>
    </w:p>
    <w:p w14:paraId="115387EE" w14:textId="77777777" w:rsidR="00481FD7" w:rsidRPr="0060637F" w:rsidRDefault="00481FD7" w:rsidP="00481FD7">
      <w:pPr>
        <w:spacing w:line="360" w:lineRule="auto"/>
        <w:rPr>
          <w:rFonts w:ascii="Arial" w:hAnsi="Arial" w:cs="Arial"/>
          <w:i/>
          <w:sz w:val="22"/>
          <w:szCs w:val="22"/>
        </w:rPr>
      </w:pPr>
      <w:r w:rsidRPr="0060637F">
        <w:rPr>
          <w:rFonts w:ascii="Arial" w:hAnsi="Arial" w:cs="Arial"/>
          <w:i/>
          <w:sz w:val="22"/>
          <w:szCs w:val="22"/>
        </w:rPr>
        <w:t xml:space="preserve">2 Tilt </w:t>
      </w:r>
      <w:proofErr w:type="gramStart"/>
      <w:r w:rsidRPr="0060637F">
        <w:rPr>
          <w:rFonts w:ascii="Arial" w:hAnsi="Arial" w:cs="Arial"/>
          <w:i/>
          <w:sz w:val="22"/>
          <w:szCs w:val="22"/>
        </w:rPr>
        <w:t>illusion</w:t>
      </w:r>
      <w:proofErr w:type="gramEnd"/>
      <w:r w:rsidRPr="0060637F">
        <w:rPr>
          <w:rFonts w:ascii="Arial" w:hAnsi="Arial" w:cs="Arial"/>
          <w:i/>
          <w:sz w:val="22"/>
          <w:szCs w:val="22"/>
        </w:rPr>
        <w:t xml:space="preserve"> with tactile surround</w:t>
      </w:r>
    </w:p>
    <w:p w14:paraId="4C927586" w14:textId="77777777" w:rsidR="00481FD7" w:rsidRPr="0060637F" w:rsidRDefault="00481FD7" w:rsidP="00481FD7">
      <w:pPr>
        <w:spacing w:line="360" w:lineRule="auto"/>
        <w:rPr>
          <w:rFonts w:ascii="Arial" w:hAnsi="Arial" w:cs="Arial"/>
          <w:sz w:val="22"/>
          <w:szCs w:val="22"/>
        </w:rPr>
      </w:pPr>
      <w:r w:rsidRPr="0060637F">
        <w:rPr>
          <w:rFonts w:ascii="Arial" w:hAnsi="Arial" w:cs="Arial"/>
          <w:sz w:val="22"/>
          <w:szCs w:val="22"/>
        </w:rPr>
        <w:t>Next, we tested whether a tactile surround alone is sufficient to induce the visual tilt illusion. A one tailed paired t-test contrasting whether the PSE in the T condition was larger than in the B condition showed that the direction of the effect matched our prediction (0.05</w:t>
      </w:r>
      <w:r w:rsidRPr="0060637F">
        <w:rPr>
          <w:rFonts w:ascii="Arial" w:hAnsi="Arial" w:cs="Arial"/>
          <w:sz w:val="22"/>
          <w:szCs w:val="22"/>
          <w:vertAlign w:val="superscript"/>
        </w:rPr>
        <w:t>o</w:t>
      </w:r>
      <w:r w:rsidRPr="0060637F">
        <w:rPr>
          <w:rFonts w:ascii="Arial" w:hAnsi="Arial" w:cs="Arial"/>
          <w:sz w:val="22"/>
          <w:szCs w:val="22"/>
        </w:rPr>
        <w:t xml:space="preserve">), but the difference was not significant </w:t>
      </w:r>
      <w:r w:rsidRPr="0060637F">
        <w:rPr>
          <w:rFonts w:ascii="Arial" w:hAnsi="Arial" w:cs="Arial"/>
        </w:rPr>
        <w:t>(</w:t>
      </w:r>
      <w:r w:rsidRPr="0060637F">
        <w:rPr>
          <w:rFonts w:ascii="Arial" w:hAnsi="Arial" w:cs="Arial"/>
          <w:sz w:val="22"/>
          <w:szCs w:val="22"/>
        </w:rPr>
        <w:t>t</w:t>
      </w:r>
      <w:r w:rsidRPr="0060637F">
        <w:rPr>
          <w:rFonts w:ascii="Arial" w:hAnsi="Arial" w:cs="Arial"/>
          <w:sz w:val="22"/>
          <w:szCs w:val="22"/>
          <w:vertAlign w:val="subscript"/>
        </w:rPr>
        <w:t>(17)</w:t>
      </w:r>
      <w:r w:rsidRPr="0060637F">
        <w:rPr>
          <w:rFonts w:ascii="Arial" w:hAnsi="Arial" w:cs="Arial"/>
          <w:sz w:val="22"/>
          <w:szCs w:val="22"/>
        </w:rPr>
        <w:t xml:space="preserve"> = 0.67, P = 0.25). This result is inconclusive about whether tactile information is sufficient to induce the tilt illusion.</w:t>
      </w:r>
    </w:p>
    <w:p w14:paraId="29B37B22" w14:textId="77777777" w:rsidR="00481FD7" w:rsidRPr="0060637F" w:rsidRDefault="00481FD7" w:rsidP="00481FD7">
      <w:pPr>
        <w:spacing w:line="360" w:lineRule="auto"/>
        <w:rPr>
          <w:rFonts w:ascii="Arial" w:hAnsi="Arial" w:cs="Arial"/>
          <w:i/>
          <w:sz w:val="22"/>
          <w:szCs w:val="22"/>
        </w:rPr>
      </w:pPr>
    </w:p>
    <w:p w14:paraId="65879EF1" w14:textId="77777777" w:rsidR="00481FD7" w:rsidRPr="0060637F" w:rsidRDefault="00481FD7" w:rsidP="00481FD7">
      <w:pPr>
        <w:spacing w:line="360" w:lineRule="auto"/>
        <w:rPr>
          <w:rFonts w:ascii="Arial" w:hAnsi="Arial" w:cs="Arial"/>
          <w:i/>
          <w:sz w:val="22"/>
          <w:szCs w:val="22"/>
        </w:rPr>
      </w:pPr>
      <w:r w:rsidRPr="0060637F">
        <w:rPr>
          <w:rFonts w:ascii="Arial" w:hAnsi="Arial" w:cs="Arial"/>
          <w:i/>
          <w:sz w:val="22"/>
          <w:szCs w:val="22"/>
        </w:rPr>
        <w:t xml:space="preserve">3 Tilt </w:t>
      </w:r>
      <w:proofErr w:type="gramStart"/>
      <w:r w:rsidRPr="0060637F">
        <w:rPr>
          <w:rFonts w:ascii="Arial" w:hAnsi="Arial" w:cs="Arial"/>
          <w:i/>
          <w:sz w:val="22"/>
          <w:szCs w:val="22"/>
        </w:rPr>
        <w:t>illusion</w:t>
      </w:r>
      <w:proofErr w:type="gramEnd"/>
      <w:r w:rsidRPr="0060637F">
        <w:rPr>
          <w:rFonts w:ascii="Arial" w:hAnsi="Arial" w:cs="Arial"/>
          <w:i/>
          <w:sz w:val="22"/>
          <w:szCs w:val="22"/>
        </w:rPr>
        <w:t xml:space="preserve"> with visuo-tactile surround</w:t>
      </w:r>
    </w:p>
    <w:p w14:paraId="1EE96A5B" w14:textId="77777777" w:rsidR="00481FD7" w:rsidRPr="0060637F" w:rsidRDefault="00481FD7" w:rsidP="00481FD7">
      <w:pPr>
        <w:spacing w:line="360" w:lineRule="auto"/>
        <w:rPr>
          <w:rFonts w:ascii="Arial" w:hAnsi="Arial" w:cs="Arial"/>
          <w:sz w:val="22"/>
          <w:szCs w:val="22"/>
        </w:rPr>
      </w:pPr>
      <w:r w:rsidRPr="0060637F">
        <w:rPr>
          <w:rFonts w:ascii="Arial" w:hAnsi="Arial" w:cs="Arial"/>
          <w:sz w:val="22"/>
          <w:szCs w:val="22"/>
        </w:rPr>
        <w:t>We investigated if combining visual and tactile surrounds enlarges the size of the tilt illusion. To do so, we tested whether the PSE in the VT condition was larger than in the V condition. A one tailed paired t-test showed that the PSE in the VT condition was 0.15</w:t>
      </w:r>
      <w:r w:rsidRPr="0060637F">
        <w:rPr>
          <w:rFonts w:ascii="Arial" w:hAnsi="Arial" w:cs="Arial"/>
          <w:sz w:val="22"/>
          <w:szCs w:val="22"/>
          <w:vertAlign w:val="superscript"/>
        </w:rPr>
        <w:t>o</w:t>
      </w:r>
      <w:r w:rsidRPr="0060637F">
        <w:rPr>
          <w:rFonts w:ascii="Arial" w:hAnsi="Arial" w:cs="Arial"/>
          <w:sz w:val="22"/>
          <w:szCs w:val="22"/>
        </w:rPr>
        <w:t xml:space="preserve"> larger than in the V condition</w:t>
      </w:r>
      <w:r w:rsidRPr="0060637F">
        <w:rPr>
          <w:rFonts w:ascii="Arial" w:hAnsi="Arial" w:cs="Arial"/>
        </w:rPr>
        <w:t xml:space="preserve"> (</w:t>
      </w:r>
      <w:proofErr w:type="gramStart"/>
      <w:r w:rsidRPr="0060637F">
        <w:rPr>
          <w:rFonts w:ascii="Arial" w:hAnsi="Arial" w:cs="Arial"/>
          <w:sz w:val="22"/>
          <w:szCs w:val="22"/>
        </w:rPr>
        <w:t>t</w:t>
      </w:r>
      <w:r w:rsidRPr="0060637F">
        <w:rPr>
          <w:rFonts w:ascii="Arial" w:hAnsi="Arial" w:cs="Arial"/>
          <w:sz w:val="22"/>
          <w:szCs w:val="22"/>
          <w:vertAlign w:val="subscript"/>
        </w:rPr>
        <w:t>(</w:t>
      </w:r>
      <w:proofErr w:type="gramEnd"/>
      <w:r w:rsidRPr="0060637F">
        <w:rPr>
          <w:rFonts w:ascii="Arial" w:hAnsi="Arial" w:cs="Arial"/>
          <w:sz w:val="22"/>
          <w:szCs w:val="22"/>
          <w:vertAlign w:val="subscript"/>
        </w:rPr>
        <w:t>17)</w:t>
      </w:r>
      <w:r w:rsidRPr="0060637F">
        <w:rPr>
          <w:rFonts w:ascii="Arial" w:hAnsi="Arial" w:cs="Arial"/>
          <w:sz w:val="22"/>
          <w:szCs w:val="22"/>
        </w:rPr>
        <w:t xml:space="preserve"> = 1.8, P = 0.044, Cohen's d = 0.29). </w:t>
      </w:r>
    </w:p>
    <w:p w14:paraId="7BA1E0A0" w14:textId="77777777" w:rsidR="00481FD7" w:rsidRPr="0060637F" w:rsidRDefault="00481FD7" w:rsidP="00481FD7">
      <w:pPr>
        <w:spacing w:line="360" w:lineRule="auto"/>
        <w:rPr>
          <w:rFonts w:ascii="Arial" w:hAnsi="Arial" w:cs="Arial"/>
          <w:sz w:val="22"/>
          <w:szCs w:val="22"/>
        </w:rPr>
      </w:pPr>
    </w:p>
    <w:p w14:paraId="22E345F1" w14:textId="066E66B4" w:rsidR="007D31F4" w:rsidRPr="00C92071" w:rsidRDefault="007D31F4" w:rsidP="007D31F4">
      <w:pPr>
        <w:spacing w:line="360" w:lineRule="auto"/>
        <w:rPr>
          <w:rFonts w:ascii="Arial" w:hAnsi="Arial" w:cs="Arial"/>
          <w:i/>
          <w:szCs w:val="22"/>
          <w:u w:val="single"/>
        </w:rPr>
      </w:pPr>
      <w:r w:rsidRPr="00C92071">
        <w:rPr>
          <w:rFonts w:ascii="Arial" w:hAnsi="Arial" w:cs="Arial"/>
          <w:i/>
          <w:szCs w:val="22"/>
          <w:u w:val="single"/>
        </w:rPr>
        <w:t>Hypothesis driven analyses modeling only one lapse parameter</w:t>
      </w:r>
    </w:p>
    <w:p w14:paraId="21E80802" w14:textId="77777777" w:rsidR="00641D76" w:rsidRPr="0060637F" w:rsidRDefault="00641D76" w:rsidP="00641D76">
      <w:pPr>
        <w:spacing w:line="360" w:lineRule="auto"/>
        <w:rPr>
          <w:rFonts w:ascii="Arial" w:hAnsi="Arial" w:cs="Arial"/>
          <w:i/>
          <w:sz w:val="22"/>
          <w:szCs w:val="22"/>
        </w:rPr>
      </w:pPr>
      <w:r w:rsidRPr="0060637F">
        <w:rPr>
          <w:rFonts w:ascii="Arial" w:hAnsi="Arial" w:cs="Arial"/>
          <w:i/>
          <w:sz w:val="22"/>
          <w:szCs w:val="22"/>
        </w:rPr>
        <w:t>1 Tilt illusion with visual surround</w:t>
      </w:r>
    </w:p>
    <w:p w14:paraId="5D87FAB5" w14:textId="7D8B1421" w:rsidR="00641D76" w:rsidRPr="0060637F" w:rsidRDefault="00641D76" w:rsidP="00641D76">
      <w:pPr>
        <w:spacing w:line="360" w:lineRule="auto"/>
        <w:rPr>
          <w:rFonts w:ascii="Arial" w:hAnsi="Arial" w:cs="Arial"/>
          <w:sz w:val="22"/>
          <w:szCs w:val="22"/>
        </w:rPr>
      </w:pPr>
      <w:r w:rsidRPr="0060637F">
        <w:rPr>
          <w:rFonts w:ascii="Arial" w:hAnsi="Arial" w:cs="Arial"/>
          <w:sz w:val="22"/>
          <w:szCs w:val="22"/>
        </w:rPr>
        <w:t xml:space="preserve">In order to assess if the visual-only surrounds induced a visual tilt illusion we tested whether the PSE in the V condition was significantly larger than the PSE in the </w:t>
      </w:r>
      <w:r>
        <w:rPr>
          <w:rFonts w:ascii="Arial" w:hAnsi="Arial" w:cs="Arial"/>
          <w:sz w:val="22"/>
          <w:szCs w:val="22"/>
        </w:rPr>
        <w:t>N</w:t>
      </w:r>
      <w:r w:rsidRPr="0060637F">
        <w:rPr>
          <w:rFonts w:ascii="Arial" w:hAnsi="Arial" w:cs="Arial"/>
          <w:sz w:val="22"/>
          <w:szCs w:val="22"/>
        </w:rPr>
        <w:t xml:space="preserve"> condition. A one tailed paired t-test showed that the PSE in the V condition was 0.65</w:t>
      </w:r>
      <w:r w:rsidRPr="0060637F">
        <w:rPr>
          <w:rFonts w:ascii="Arial" w:hAnsi="Arial" w:cs="Arial"/>
          <w:sz w:val="22"/>
          <w:szCs w:val="22"/>
          <w:vertAlign w:val="superscript"/>
        </w:rPr>
        <w:t>o</w:t>
      </w:r>
      <w:r w:rsidRPr="0060637F">
        <w:rPr>
          <w:rFonts w:ascii="Arial" w:hAnsi="Arial" w:cs="Arial"/>
          <w:sz w:val="22"/>
          <w:szCs w:val="22"/>
        </w:rPr>
        <w:t xml:space="preserve"> larger than in the B condition</w:t>
      </w:r>
      <w:r w:rsidRPr="0060637F">
        <w:rPr>
          <w:rFonts w:ascii="Arial" w:hAnsi="Arial" w:cs="Arial"/>
        </w:rPr>
        <w:t xml:space="preserve"> (</w:t>
      </w:r>
      <w:proofErr w:type="gramStart"/>
      <w:r w:rsidRPr="0060637F">
        <w:rPr>
          <w:rFonts w:ascii="Arial" w:hAnsi="Arial" w:cs="Arial"/>
          <w:sz w:val="22"/>
          <w:szCs w:val="22"/>
        </w:rPr>
        <w:t>t</w:t>
      </w:r>
      <w:r w:rsidRPr="0060637F">
        <w:rPr>
          <w:rFonts w:ascii="Arial" w:hAnsi="Arial" w:cs="Arial"/>
          <w:sz w:val="22"/>
          <w:szCs w:val="22"/>
          <w:vertAlign w:val="subscript"/>
        </w:rPr>
        <w:t>(</w:t>
      </w:r>
      <w:proofErr w:type="gramEnd"/>
      <w:r w:rsidRPr="0060637F">
        <w:rPr>
          <w:rFonts w:ascii="Arial" w:hAnsi="Arial" w:cs="Arial"/>
          <w:sz w:val="22"/>
          <w:szCs w:val="22"/>
          <w:vertAlign w:val="subscript"/>
        </w:rPr>
        <w:t>17)</w:t>
      </w:r>
      <w:r>
        <w:rPr>
          <w:rFonts w:ascii="Arial" w:hAnsi="Arial" w:cs="Arial"/>
          <w:sz w:val="22"/>
          <w:szCs w:val="22"/>
        </w:rPr>
        <w:t xml:space="preserve"> = 5.40</w:t>
      </w:r>
      <w:r w:rsidR="00C92071">
        <w:rPr>
          <w:rFonts w:ascii="Arial" w:hAnsi="Arial" w:cs="Arial"/>
          <w:sz w:val="22"/>
          <w:szCs w:val="22"/>
        </w:rPr>
        <w:t>, P &lt; 0.001, Cohen's d = 1.35</w:t>
      </w:r>
      <w:r w:rsidRPr="0060637F">
        <w:rPr>
          <w:rFonts w:ascii="Arial" w:hAnsi="Arial" w:cs="Arial"/>
          <w:sz w:val="22"/>
          <w:szCs w:val="22"/>
        </w:rPr>
        <w:t xml:space="preserve">). This result </w:t>
      </w:r>
      <w:r w:rsidRPr="0060637F">
        <w:rPr>
          <w:rFonts w:ascii="Arial" w:hAnsi="Arial" w:cs="Arial"/>
          <w:sz w:val="22"/>
          <w:szCs w:val="22"/>
        </w:rPr>
        <w:lastRenderedPageBreak/>
        <w:t>demonstrates that the surrounds effectively biased inward the subjective orientation percepts in both central gratings, and therefore an increment in their orientation difference (positive shift in the PSE) is required to counteract the visual tilt illusion effect.</w:t>
      </w:r>
    </w:p>
    <w:p w14:paraId="44A9E49E" w14:textId="77777777" w:rsidR="00641D76" w:rsidRPr="0060637F" w:rsidRDefault="00641D76" w:rsidP="00641D76">
      <w:pPr>
        <w:spacing w:line="360" w:lineRule="auto"/>
        <w:rPr>
          <w:rFonts w:ascii="Arial" w:hAnsi="Arial" w:cs="Arial"/>
          <w:sz w:val="22"/>
          <w:szCs w:val="22"/>
        </w:rPr>
      </w:pPr>
    </w:p>
    <w:p w14:paraId="44B46CB2" w14:textId="77777777" w:rsidR="00641D76" w:rsidRPr="0060637F" w:rsidRDefault="00641D76" w:rsidP="00641D76">
      <w:pPr>
        <w:spacing w:line="360" w:lineRule="auto"/>
        <w:rPr>
          <w:rFonts w:ascii="Arial" w:hAnsi="Arial" w:cs="Arial"/>
          <w:i/>
          <w:sz w:val="22"/>
          <w:szCs w:val="22"/>
        </w:rPr>
      </w:pPr>
      <w:r w:rsidRPr="0060637F">
        <w:rPr>
          <w:rFonts w:ascii="Arial" w:hAnsi="Arial" w:cs="Arial"/>
          <w:i/>
          <w:sz w:val="22"/>
          <w:szCs w:val="22"/>
        </w:rPr>
        <w:t xml:space="preserve">2 Tilt </w:t>
      </w:r>
      <w:proofErr w:type="gramStart"/>
      <w:r w:rsidRPr="0060637F">
        <w:rPr>
          <w:rFonts w:ascii="Arial" w:hAnsi="Arial" w:cs="Arial"/>
          <w:i/>
          <w:sz w:val="22"/>
          <w:szCs w:val="22"/>
        </w:rPr>
        <w:t>illusion</w:t>
      </w:r>
      <w:proofErr w:type="gramEnd"/>
      <w:r w:rsidRPr="0060637F">
        <w:rPr>
          <w:rFonts w:ascii="Arial" w:hAnsi="Arial" w:cs="Arial"/>
          <w:i/>
          <w:sz w:val="22"/>
          <w:szCs w:val="22"/>
        </w:rPr>
        <w:t xml:space="preserve"> with tactile surround</w:t>
      </w:r>
    </w:p>
    <w:p w14:paraId="58BAC6B3" w14:textId="1D50F6CF" w:rsidR="00641D76" w:rsidRPr="0060637F" w:rsidRDefault="00641D76" w:rsidP="00641D76">
      <w:pPr>
        <w:spacing w:line="360" w:lineRule="auto"/>
        <w:rPr>
          <w:rFonts w:ascii="Arial" w:hAnsi="Arial" w:cs="Arial"/>
          <w:sz w:val="22"/>
          <w:szCs w:val="22"/>
        </w:rPr>
      </w:pPr>
      <w:r w:rsidRPr="0060637F">
        <w:rPr>
          <w:rFonts w:ascii="Arial" w:hAnsi="Arial" w:cs="Arial"/>
          <w:sz w:val="22"/>
          <w:szCs w:val="22"/>
        </w:rPr>
        <w:t>Next, we tested whether a tactile surround alone is sufficient to induce the visual tilt illusion. A one tailed paired t-test contrasting whether the PSE in the T condition was larger than in the B condition showed that the direction of the effect matched our prediction (0.0</w:t>
      </w:r>
      <w:r w:rsidR="00C92071">
        <w:rPr>
          <w:rFonts w:ascii="Arial" w:hAnsi="Arial" w:cs="Arial"/>
          <w:sz w:val="22"/>
          <w:szCs w:val="22"/>
        </w:rPr>
        <w:t>9</w:t>
      </w:r>
      <w:r w:rsidRPr="0060637F">
        <w:rPr>
          <w:rFonts w:ascii="Arial" w:hAnsi="Arial" w:cs="Arial"/>
          <w:sz w:val="22"/>
          <w:szCs w:val="22"/>
          <w:vertAlign w:val="superscript"/>
        </w:rPr>
        <w:t>o</w:t>
      </w:r>
      <w:r w:rsidRPr="0060637F">
        <w:rPr>
          <w:rFonts w:ascii="Arial" w:hAnsi="Arial" w:cs="Arial"/>
          <w:sz w:val="22"/>
          <w:szCs w:val="22"/>
        </w:rPr>
        <w:t xml:space="preserve">), but the difference was not significant </w:t>
      </w:r>
      <w:r w:rsidRPr="0060637F">
        <w:rPr>
          <w:rFonts w:ascii="Arial" w:hAnsi="Arial" w:cs="Arial"/>
        </w:rPr>
        <w:t>(</w:t>
      </w:r>
      <w:r w:rsidRPr="0060637F">
        <w:rPr>
          <w:rFonts w:ascii="Arial" w:hAnsi="Arial" w:cs="Arial"/>
          <w:sz w:val="22"/>
          <w:szCs w:val="22"/>
        </w:rPr>
        <w:t>t</w:t>
      </w:r>
      <w:r w:rsidRPr="0060637F">
        <w:rPr>
          <w:rFonts w:ascii="Arial" w:hAnsi="Arial" w:cs="Arial"/>
          <w:sz w:val="22"/>
          <w:szCs w:val="22"/>
          <w:vertAlign w:val="subscript"/>
        </w:rPr>
        <w:t>(17)</w:t>
      </w:r>
      <w:r w:rsidR="00C92071">
        <w:rPr>
          <w:rFonts w:ascii="Arial" w:hAnsi="Arial" w:cs="Arial"/>
          <w:sz w:val="22"/>
          <w:szCs w:val="22"/>
        </w:rPr>
        <w:t xml:space="preserve"> = 1.16</w:t>
      </w:r>
      <w:r w:rsidRPr="0060637F">
        <w:rPr>
          <w:rFonts w:ascii="Arial" w:hAnsi="Arial" w:cs="Arial"/>
          <w:sz w:val="22"/>
          <w:szCs w:val="22"/>
        </w:rPr>
        <w:t>, P</w:t>
      </w:r>
      <w:r w:rsidR="00C92071">
        <w:rPr>
          <w:rFonts w:ascii="Arial" w:hAnsi="Arial" w:cs="Arial"/>
          <w:sz w:val="22"/>
          <w:szCs w:val="22"/>
        </w:rPr>
        <w:t xml:space="preserve"> = 0.13</w:t>
      </w:r>
      <w:r w:rsidRPr="0060637F">
        <w:rPr>
          <w:rFonts w:ascii="Arial" w:hAnsi="Arial" w:cs="Arial"/>
          <w:sz w:val="22"/>
          <w:szCs w:val="22"/>
        </w:rPr>
        <w:t>). This result is inconclusive about whether tactile information is sufficient to induce the tilt illusion.</w:t>
      </w:r>
    </w:p>
    <w:p w14:paraId="1065994C" w14:textId="77777777" w:rsidR="00641D76" w:rsidRPr="0060637F" w:rsidRDefault="00641D76" w:rsidP="00641D76">
      <w:pPr>
        <w:spacing w:line="360" w:lineRule="auto"/>
        <w:rPr>
          <w:rFonts w:ascii="Arial" w:hAnsi="Arial" w:cs="Arial"/>
          <w:i/>
          <w:sz w:val="22"/>
          <w:szCs w:val="22"/>
        </w:rPr>
      </w:pPr>
    </w:p>
    <w:p w14:paraId="24B6AB0A" w14:textId="77777777" w:rsidR="00641D76" w:rsidRPr="0060637F" w:rsidRDefault="00641D76" w:rsidP="00641D76">
      <w:pPr>
        <w:spacing w:line="360" w:lineRule="auto"/>
        <w:rPr>
          <w:rFonts w:ascii="Arial" w:hAnsi="Arial" w:cs="Arial"/>
          <w:i/>
          <w:sz w:val="22"/>
          <w:szCs w:val="22"/>
        </w:rPr>
      </w:pPr>
      <w:r w:rsidRPr="0060637F">
        <w:rPr>
          <w:rFonts w:ascii="Arial" w:hAnsi="Arial" w:cs="Arial"/>
          <w:i/>
          <w:sz w:val="22"/>
          <w:szCs w:val="22"/>
        </w:rPr>
        <w:t xml:space="preserve">3 Tilt </w:t>
      </w:r>
      <w:proofErr w:type="gramStart"/>
      <w:r w:rsidRPr="0060637F">
        <w:rPr>
          <w:rFonts w:ascii="Arial" w:hAnsi="Arial" w:cs="Arial"/>
          <w:i/>
          <w:sz w:val="22"/>
          <w:szCs w:val="22"/>
        </w:rPr>
        <w:t>illusion</w:t>
      </w:r>
      <w:proofErr w:type="gramEnd"/>
      <w:r w:rsidRPr="0060637F">
        <w:rPr>
          <w:rFonts w:ascii="Arial" w:hAnsi="Arial" w:cs="Arial"/>
          <w:i/>
          <w:sz w:val="22"/>
          <w:szCs w:val="22"/>
        </w:rPr>
        <w:t xml:space="preserve"> with visuo-tactile surround</w:t>
      </w:r>
    </w:p>
    <w:p w14:paraId="0ECC5B7A" w14:textId="75B6FE4D" w:rsidR="00641D76" w:rsidRPr="0060637F" w:rsidRDefault="00641D76" w:rsidP="00641D76">
      <w:pPr>
        <w:spacing w:line="360" w:lineRule="auto"/>
        <w:rPr>
          <w:rFonts w:ascii="Arial" w:hAnsi="Arial" w:cs="Arial"/>
          <w:sz w:val="22"/>
          <w:szCs w:val="22"/>
        </w:rPr>
      </w:pPr>
      <w:r w:rsidRPr="0060637F">
        <w:rPr>
          <w:rFonts w:ascii="Arial" w:hAnsi="Arial" w:cs="Arial"/>
          <w:sz w:val="22"/>
          <w:szCs w:val="22"/>
        </w:rPr>
        <w:t>We investigated if combining visual and tactile surrounds enlarges the size of the tilt illusion. To do so, we tested whether the PSE in the VT condition was larger than in the V condition. A one tailed paired t-test showed that the PSE in the VT condition was 0.1</w:t>
      </w:r>
      <w:r w:rsidR="00C92071">
        <w:rPr>
          <w:rFonts w:ascii="Arial" w:hAnsi="Arial" w:cs="Arial"/>
          <w:sz w:val="22"/>
          <w:szCs w:val="22"/>
        </w:rPr>
        <w:t>6</w:t>
      </w:r>
      <w:r w:rsidRPr="0060637F">
        <w:rPr>
          <w:rFonts w:ascii="Arial" w:hAnsi="Arial" w:cs="Arial"/>
          <w:sz w:val="22"/>
          <w:szCs w:val="22"/>
          <w:vertAlign w:val="superscript"/>
        </w:rPr>
        <w:t>o</w:t>
      </w:r>
      <w:r w:rsidRPr="0060637F">
        <w:rPr>
          <w:rFonts w:ascii="Arial" w:hAnsi="Arial" w:cs="Arial"/>
          <w:sz w:val="22"/>
          <w:szCs w:val="22"/>
        </w:rPr>
        <w:t xml:space="preserve"> larger than in the V condition</w:t>
      </w:r>
      <w:r w:rsidRPr="0060637F">
        <w:rPr>
          <w:rFonts w:ascii="Arial" w:hAnsi="Arial" w:cs="Arial"/>
        </w:rPr>
        <w:t xml:space="preserve"> (</w:t>
      </w:r>
      <w:proofErr w:type="gramStart"/>
      <w:r w:rsidRPr="0060637F">
        <w:rPr>
          <w:rFonts w:ascii="Arial" w:hAnsi="Arial" w:cs="Arial"/>
          <w:sz w:val="22"/>
          <w:szCs w:val="22"/>
        </w:rPr>
        <w:t>t</w:t>
      </w:r>
      <w:r w:rsidRPr="0060637F">
        <w:rPr>
          <w:rFonts w:ascii="Arial" w:hAnsi="Arial" w:cs="Arial"/>
          <w:sz w:val="22"/>
          <w:szCs w:val="22"/>
          <w:vertAlign w:val="subscript"/>
        </w:rPr>
        <w:t>(</w:t>
      </w:r>
      <w:proofErr w:type="gramEnd"/>
      <w:r w:rsidRPr="0060637F">
        <w:rPr>
          <w:rFonts w:ascii="Arial" w:hAnsi="Arial" w:cs="Arial"/>
          <w:sz w:val="22"/>
          <w:szCs w:val="22"/>
          <w:vertAlign w:val="subscript"/>
        </w:rPr>
        <w:t>17)</w:t>
      </w:r>
      <w:r w:rsidR="00C92071">
        <w:rPr>
          <w:rFonts w:ascii="Arial" w:hAnsi="Arial" w:cs="Arial"/>
          <w:sz w:val="22"/>
          <w:szCs w:val="22"/>
        </w:rPr>
        <w:t xml:space="preserve"> = 2.12, P = 0.024, Cohen's d = 0.31</w:t>
      </w:r>
      <w:r w:rsidRPr="0060637F">
        <w:rPr>
          <w:rFonts w:ascii="Arial" w:hAnsi="Arial" w:cs="Arial"/>
          <w:sz w:val="22"/>
          <w:szCs w:val="22"/>
        </w:rPr>
        <w:t xml:space="preserve">). </w:t>
      </w:r>
    </w:p>
    <w:p w14:paraId="0C33437A" w14:textId="77777777" w:rsidR="00481FD7" w:rsidRPr="0060637F" w:rsidRDefault="00481FD7" w:rsidP="00481FD7">
      <w:pPr>
        <w:spacing w:line="360" w:lineRule="auto"/>
        <w:rPr>
          <w:rFonts w:ascii="Arial" w:hAnsi="Arial" w:cs="Arial"/>
          <w:sz w:val="22"/>
          <w:szCs w:val="22"/>
        </w:rPr>
      </w:pPr>
    </w:p>
    <w:p w14:paraId="25B061C9" w14:textId="77777777" w:rsidR="00481FD7" w:rsidRPr="00C92071" w:rsidRDefault="00481FD7" w:rsidP="00481FD7">
      <w:pPr>
        <w:spacing w:line="360" w:lineRule="auto"/>
        <w:rPr>
          <w:rFonts w:ascii="Arial" w:hAnsi="Arial" w:cs="Arial"/>
          <w:i/>
          <w:szCs w:val="22"/>
          <w:u w:val="single"/>
        </w:rPr>
      </w:pPr>
      <w:r w:rsidRPr="00C92071">
        <w:rPr>
          <w:rFonts w:ascii="Arial" w:hAnsi="Arial" w:cs="Arial"/>
          <w:i/>
          <w:szCs w:val="22"/>
          <w:u w:val="single"/>
        </w:rPr>
        <w:t>Hand dominance and size of the VT tilt illusion effect</w:t>
      </w:r>
    </w:p>
    <w:p w14:paraId="7AA413EA" w14:textId="77777777" w:rsidR="00481FD7" w:rsidRDefault="00481FD7" w:rsidP="00481FD7">
      <w:pPr>
        <w:spacing w:line="360" w:lineRule="auto"/>
        <w:rPr>
          <w:rFonts w:ascii="Arial" w:hAnsi="Arial" w:cs="Arial"/>
          <w:sz w:val="22"/>
          <w:szCs w:val="22"/>
        </w:rPr>
      </w:pPr>
      <w:r w:rsidRPr="0060637F">
        <w:rPr>
          <w:rFonts w:ascii="Arial" w:hAnsi="Arial" w:cs="Arial"/>
          <w:sz w:val="22"/>
          <w:szCs w:val="22"/>
        </w:rPr>
        <w:t xml:space="preserve">Finally, we tested whether differences in hand dominance correlated with the size of the </w:t>
      </w:r>
      <w:r>
        <w:rPr>
          <w:rFonts w:ascii="Arial" w:hAnsi="Arial" w:cs="Arial"/>
          <w:sz w:val="22"/>
          <w:szCs w:val="22"/>
        </w:rPr>
        <w:t>V</w:t>
      </w:r>
      <w:r w:rsidRPr="0060637F">
        <w:rPr>
          <w:rFonts w:ascii="Arial" w:hAnsi="Arial" w:cs="Arial"/>
          <w:sz w:val="22"/>
          <w:szCs w:val="22"/>
        </w:rPr>
        <w:t xml:space="preserve">isuo-tactile tilt illusion. We calculated the </w:t>
      </w:r>
      <w:r>
        <w:rPr>
          <w:rFonts w:ascii="Arial" w:hAnsi="Arial" w:cs="Arial"/>
          <w:sz w:val="22"/>
          <w:szCs w:val="22"/>
        </w:rPr>
        <w:t>V</w:t>
      </w:r>
      <w:r w:rsidRPr="0060637F">
        <w:rPr>
          <w:rFonts w:ascii="Arial" w:hAnsi="Arial" w:cs="Arial"/>
          <w:sz w:val="22"/>
          <w:szCs w:val="22"/>
        </w:rPr>
        <w:t xml:space="preserve">isuo-tactile PSE bias for each participant and base orientation condition by subtracting the PSE in the V condition to the PSE in the VT condition. Then, we calculated the Pearson correlation coefficient for the </w:t>
      </w:r>
      <w:r>
        <w:rPr>
          <w:rFonts w:ascii="Arial" w:hAnsi="Arial" w:cs="Arial"/>
          <w:sz w:val="22"/>
          <w:szCs w:val="22"/>
        </w:rPr>
        <w:t>V</w:t>
      </w:r>
      <w:r w:rsidRPr="0060637F">
        <w:rPr>
          <w:rFonts w:ascii="Arial" w:hAnsi="Arial" w:cs="Arial"/>
          <w:sz w:val="22"/>
          <w:szCs w:val="22"/>
        </w:rPr>
        <w:t>isuo-tactile PSE bias with the Edinburgh handedness inventory scores in each base orientation condition. We did not find significant correlations for the -4</w:t>
      </w:r>
      <w:r w:rsidRPr="0060637F">
        <w:rPr>
          <w:rFonts w:ascii="Arial" w:hAnsi="Arial" w:cs="Arial"/>
          <w:sz w:val="22"/>
          <w:szCs w:val="22"/>
          <w:vertAlign w:val="superscript"/>
        </w:rPr>
        <w:t xml:space="preserve">o </w:t>
      </w:r>
      <w:r w:rsidRPr="0060637F">
        <w:rPr>
          <w:rFonts w:ascii="Arial" w:hAnsi="Arial" w:cs="Arial"/>
          <w:sz w:val="22"/>
          <w:szCs w:val="22"/>
        </w:rPr>
        <w:t>base orientation (R = 0.05, P = 0.85) nor for the 4</w:t>
      </w:r>
      <w:r w:rsidRPr="0060637F">
        <w:rPr>
          <w:rFonts w:ascii="Arial" w:hAnsi="Arial" w:cs="Arial"/>
          <w:sz w:val="22"/>
          <w:szCs w:val="22"/>
          <w:vertAlign w:val="superscript"/>
        </w:rPr>
        <w:t>o</w:t>
      </w:r>
      <w:r w:rsidRPr="0060637F">
        <w:rPr>
          <w:rFonts w:ascii="Arial" w:hAnsi="Arial" w:cs="Arial"/>
          <w:sz w:val="22"/>
          <w:szCs w:val="22"/>
        </w:rPr>
        <w:t xml:space="preserve"> (R = -0.13, P = 0.62). </w:t>
      </w:r>
      <w:r>
        <w:rPr>
          <w:rFonts w:ascii="Arial" w:hAnsi="Arial" w:cs="Arial"/>
          <w:sz w:val="22"/>
          <w:szCs w:val="22"/>
        </w:rPr>
        <w:t xml:space="preserve">A similar analysis was performed on the PSE parameters obtained after fitting the psychometric functions on the averaged base orientation conditions leading to identical results </w:t>
      </w:r>
      <w:r w:rsidRPr="0060637F">
        <w:rPr>
          <w:rFonts w:ascii="Arial" w:hAnsi="Arial" w:cs="Arial"/>
          <w:sz w:val="22"/>
          <w:szCs w:val="22"/>
        </w:rPr>
        <w:t>(R = 0.15, P = 0.4)</w:t>
      </w:r>
      <w:r>
        <w:rPr>
          <w:rFonts w:ascii="Arial" w:hAnsi="Arial" w:cs="Arial"/>
          <w:sz w:val="22"/>
          <w:szCs w:val="22"/>
        </w:rPr>
        <w:t xml:space="preserve">. </w:t>
      </w:r>
      <w:r w:rsidRPr="0060637F">
        <w:rPr>
          <w:rFonts w:ascii="Arial" w:hAnsi="Arial" w:cs="Arial"/>
          <w:sz w:val="22"/>
          <w:szCs w:val="22"/>
        </w:rPr>
        <w:t>Thus, we can conclude that hand dominance did not determine or biased the strength of the visuo-tactile tilt illusion effect in our experiment.</w:t>
      </w:r>
      <w:r>
        <w:rPr>
          <w:rFonts w:ascii="Arial" w:hAnsi="Arial" w:cs="Arial"/>
          <w:sz w:val="22"/>
          <w:szCs w:val="22"/>
        </w:rPr>
        <w:t xml:space="preserve"> </w:t>
      </w:r>
    </w:p>
    <w:p w14:paraId="039CE52F" w14:textId="77777777" w:rsidR="00481FD7" w:rsidRDefault="00481FD7" w:rsidP="00481FD7">
      <w:pPr>
        <w:spacing w:line="360" w:lineRule="auto"/>
        <w:rPr>
          <w:rFonts w:ascii="Arial" w:hAnsi="Arial" w:cs="Arial"/>
          <w:sz w:val="22"/>
          <w:szCs w:val="22"/>
        </w:rPr>
      </w:pPr>
    </w:p>
    <w:p w14:paraId="3510E237" w14:textId="77777777" w:rsidR="00481FD7" w:rsidRPr="0060637F" w:rsidRDefault="00481FD7" w:rsidP="00481FD7">
      <w:pPr>
        <w:spacing w:line="360" w:lineRule="auto"/>
        <w:rPr>
          <w:rFonts w:ascii="Arial" w:hAnsi="Arial" w:cs="Arial"/>
          <w:sz w:val="22"/>
          <w:szCs w:val="22"/>
        </w:rPr>
      </w:pPr>
    </w:p>
    <w:p w14:paraId="63C31CEA" w14:textId="77777777" w:rsidR="00481FD7" w:rsidRPr="0060637F" w:rsidRDefault="00481FD7" w:rsidP="00481FD7">
      <w:pPr>
        <w:widowControl w:val="0"/>
        <w:autoSpaceDE w:val="0"/>
        <w:autoSpaceDN w:val="0"/>
        <w:adjustRightInd w:val="0"/>
        <w:spacing w:line="360" w:lineRule="auto"/>
        <w:ind w:left="480" w:hanging="480"/>
        <w:rPr>
          <w:rFonts w:ascii="Arial" w:hAnsi="Arial" w:cs="Arial"/>
          <w:sz w:val="22"/>
          <w:szCs w:val="22"/>
        </w:rPr>
      </w:pPr>
    </w:p>
    <w:p w14:paraId="4F391B0B" w14:textId="77777777" w:rsidR="00481FD7" w:rsidRPr="0060637F" w:rsidRDefault="00481FD7" w:rsidP="00481FD7">
      <w:pPr>
        <w:widowControl w:val="0"/>
        <w:autoSpaceDE w:val="0"/>
        <w:autoSpaceDN w:val="0"/>
        <w:adjustRightInd w:val="0"/>
        <w:spacing w:line="360" w:lineRule="auto"/>
        <w:ind w:left="480" w:hanging="480"/>
        <w:rPr>
          <w:rFonts w:ascii="Arial" w:hAnsi="Arial" w:cs="Arial"/>
          <w:sz w:val="22"/>
          <w:szCs w:val="22"/>
        </w:rPr>
      </w:pPr>
      <w:r w:rsidRPr="000E7615">
        <w:rPr>
          <w:rFonts w:ascii="Arial" w:hAnsi="Arial" w:cs="Arial"/>
          <w:noProof/>
          <w:sz w:val="22"/>
          <w:szCs w:val="22"/>
        </w:rPr>
        <w:lastRenderedPageBreak/>
        <w:drawing>
          <wp:inline distT="0" distB="0" distL="0" distR="0" wp14:anchorId="6CBDF90A" wp14:editId="4F07E94C">
            <wp:extent cx="5486400" cy="3123123"/>
            <wp:effectExtent l="0" t="0" r="0" b="127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123123"/>
                    </a:xfrm>
                    <a:prstGeom prst="rect">
                      <a:avLst/>
                    </a:prstGeom>
                    <a:noFill/>
                    <a:ln>
                      <a:noFill/>
                    </a:ln>
                  </pic:spPr>
                </pic:pic>
              </a:graphicData>
            </a:graphic>
          </wp:inline>
        </w:drawing>
      </w:r>
    </w:p>
    <w:p w14:paraId="5CCF4D43" w14:textId="41AEC14C" w:rsidR="00481FD7" w:rsidRDefault="00481FD7" w:rsidP="00481FD7">
      <w:pPr>
        <w:spacing w:line="360" w:lineRule="auto"/>
        <w:rPr>
          <w:rFonts w:ascii="Arial" w:hAnsi="Arial" w:cs="Arial"/>
          <w:sz w:val="20"/>
          <w:szCs w:val="22"/>
        </w:rPr>
      </w:pPr>
      <w:r w:rsidRPr="00074CA5">
        <w:rPr>
          <w:rFonts w:ascii="Arial" w:hAnsi="Arial" w:cs="Arial"/>
          <w:b/>
          <w:sz w:val="20"/>
          <w:szCs w:val="22"/>
        </w:rPr>
        <w:t>Figure</w:t>
      </w:r>
      <w:r w:rsidR="00074CA5" w:rsidRPr="00074CA5">
        <w:rPr>
          <w:rFonts w:ascii="Arial" w:hAnsi="Arial" w:cs="Arial"/>
          <w:b/>
          <w:sz w:val="20"/>
          <w:szCs w:val="22"/>
        </w:rPr>
        <w:t xml:space="preserve"> S1 Individual fits</w:t>
      </w:r>
      <w:r w:rsidRPr="0060637F">
        <w:rPr>
          <w:rFonts w:ascii="Arial" w:hAnsi="Arial" w:cs="Arial"/>
          <w:sz w:val="20"/>
          <w:szCs w:val="22"/>
        </w:rPr>
        <w:t xml:space="preserve"> Points represent orientation discrimination performances in both base orientation conditions. Lines represent the fitted psychometric functions for each participant, experimental condition and base orientation</w:t>
      </w:r>
      <w:r>
        <w:rPr>
          <w:rFonts w:ascii="Arial" w:hAnsi="Arial" w:cs="Arial"/>
          <w:sz w:val="20"/>
          <w:szCs w:val="22"/>
        </w:rPr>
        <w:t>.</w:t>
      </w:r>
    </w:p>
    <w:p w14:paraId="17D3DC22" w14:textId="77777777" w:rsidR="00481FD7" w:rsidRPr="0060637F" w:rsidRDefault="00481FD7" w:rsidP="00481FD7">
      <w:pPr>
        <w:spacing w:line="360" w:lineRule="auto"/>
        <w:rPr>
          <w:rFonts w:ascii="Arial" w:hAnsi="Arial" w:cs="Arial"/>
          <w:sz w:val="20"/>
          <w:szCs w:val="22"/>
        </w:rPr>
      </w:pPr>
    </w:p>
    <w:p w14:paraId="35B0C132" w14:textId="77777777" w:rsidR="00481FD7" w:rsidRPr="0060637F" w:rsidRDefault="00481FD7" w:rsidP="00481FD7">
      <w:pPr>
        <w:spacing w:line="360" w:lineRule="auto"/>
        <w:rPr>
          <w:rFonts w:ascii="Arial" w:hAnsi="Arial" w:cs="Arial"/>
          <w:sz w:val="22"/>
          <w:szCs w:val="22"/>
        </w:rPr>
      </w:pPr>
    </w:p>
    <w:p w14:paraId="58F06185" w14:textId="77777777" w:rsidR="00481FD7" w:rsidRPr="0060637F" w:rsidRDefault="00481FD7" w:rsidP="00481FD7">
      <w:pPr>
        <w:widowControl w:val="0"/>
        <w:autoSpaceDE w:val="0"/>
        <w:autoSpaceDN w:val="0"/>
        <w:adjustRightInd w:val="0"/>
        <w:spacing w:line="360" w:lineRule="auto"/>
        <w:ind w:left="480" w:hanging="480"/>
        <w:rPr>
          <w:rFonts w:ascii="Arial" w:hAnsi="Arial" w:cs="Arial"/>
          <w:sz w:val="22"/>
          <w:szCs w:val="22"/>
        </w:rPr>
      </w:pPr>
      <w:r w:rsidRPr="000E7615">
        <w:rPr>
          <w:rFonts w:ascii="Arial" w:hAnsi="Arial" w:cs="Arial"/>
          <w:noProof/>
          <w:sz w:val="22"/>
          <w:szCs w:val="22"/>
        </w:rPr>
        <w:drawing>
          <wp:inline distT="0" distB="0" distL="0" distR="0" wp14:anchorId="7D8DDB67" wp14:editId="4626F39B">
            <wp:extent cx="4912764" cy="2962710"/>
            <wp:effectExtent l="0" t="0" r="0" b="952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3208" cy="2962978"/>
                    </a:xfrm>
                    <a:prstGeom prst="rect">
                      <a:avLst/>
                    </a:prstGeom>
                    <a:noFill/>
                    <a:ln>
                      <a:noFill/>
                    </a:ln>
                  </pic:spPr>
                </pic:pic>
              </a:graphicData>
            </a:graphic>
          </wp:inline>
        </w:drawing>
      </w:r>
    </w:p>
    <w:p w14:paraId="18DA1AAA" w14:textId="61BC9342" w:rsidR="00481FD7" w:rsidRPr="0060637F" w:rsidRDefault="00481FD7" w:rsidP="00481FD7">
      <w:pPr>
        <w:spacing w:line="360" w:lineRule="auto"/>
        <w:rPr>
          <w:rFonts w:ascii="Arial" w:hAnsi="Arial" w:cs="Arial"/>
          <w:sz w:val="22"/>
          <w:szCs w:val="22"/>
        </w:rPr>
      </w:pPr>
      <w:r w:rsidRPr="00D42439">
        <w:rPr>
          <w:rFonts w:ascii="Arial" w:hAnsi="Arial" w:cs="Arial"/>
          <w:b/>
          <w:sz w:val="20"/>
          <w:szCs w:val="22"/>
        </w:rPr>
        <w:t xml:space="preserve">Figure S2 Orientation discrimination performances </w:t>
      </w:r>
      <w:r w:rsidR="004308CB">
        <w:rPr>
          <w:rFonts w:ascii="Arial" w:hAnsi="Arial" w:cs="Arial"/>
          <w:b/>
          <w:sz w:val="20"/>
          <w:szCs w:val="22"/>
        </w:rPr>
        <w:t>modeling</w:t>
      </w:r>
      <w:r w:rsidRPr="00D42439">
        <w:rPr>
          <w:rFonts w:ascii="Arial" w:hAnsi="Arial" w:cs="Arial"/>
          <w:b/>
          <w:sz w:val="20"/>
          <w:szCs w:val="22"/>
        </w:rPr>
        <w:t xml:space="preserve"> both base orientation conditions</w:t>
      </w:r>
      <w:r w:rsidRPr="0060637F">
        <w:rPr>
          <w:rFonts w:ascii="Arial" w:hAnsi="Arial" w:cs="Arial"/>
          <w:sz w:val="20"/>
          <w:szCs w:val="22"/>
        </w:rPr>
        <w:t>. Proportion data in base orientation 4</w:t>
      </w:r>
      <w:r w:rsidRPr="0060637F">
        <w:rPr>
          <w:rFonts w:ascii="Arial" w:hAnsi="Arial" w:cs="Arial"/>
          <w:sz w:val="20"/>
          <w:szCs w:val="22"/>
          <w:vertAlign w:val="superscript"/>
        </w:rPr>
        <w:t>o</w:t>
      </w:r>
      <w:r w:rsidRPr="0060637F">
        <w:rPr>
          <w:rFonts w:ascii="Arial" w:hAnsi="Arial" w:cs="Arial"/>
          <w:sz w:val="20"/>
          <w:szCs w:val="22"/>
        </w:rPr>
        <w:t xml:space="preserve"> have been re-oriented to match base orientation -4</w:t>
      </w:r>
      <w:r w:rsidRPr="0060637F">
        <w:rPr>
          <w:rFonts w:ascii="Arial" w:hAnsi="Arial" w:cs="Arial"/>
          <w:sz w:val="20"/>
          <w:szCs w:val="22"/>
          <w:vertAlign w:val="superscript"/>
        </w:rPr>
        <w:t>o</w:t>
      </w:r>
      <w:r w:rsidRPr="0060637F">
        <w:rPr>
          <w:rFonts w:ascii="Arial" w:hAnsi="Arial" w:cs="Arial"/>
          <w:sz w:val="20"/>
          <w:szCs w:val="22"/>
        </w:rPr>
        <w:t xml:space="preserve">. </w:t>
      </w:r>
      <w:r w:rsidR="00D42439">
        <w:rPr>
          <w:rFonts w:ascii="Arial" w:hAnsi="Arial" w:cs="Arial"/>
          <w:sz w:val="20"/>
          <w:szCs w:val="22"/>
        </w:rPr>
        <w:t>(</w:t>
      </w:r>
      <w:r w:rsidRPr="0060637F">
        <w:rPr>
          <w:rFonts w:ascii="Arial" w:hAnsi="Arial" w:cs="Arial"/>
          <w:sz w:val="20"/>
          <w:szCs w:val="22"/>
        </w:rPr>
        <w:t>A</w:t>
      </w:r>
      <w:r w:rsidR="00D42439">
        <w:rPr>
          <w:rFonts w:ascii="Arial" w:hAnsi="Arial" w:cs="Arial"/>
          <w:sz w:val="20"/>
          <w:szCs w:val="22"/>
        </w:rPr>
        <w:t>)</w:t>
      </w:r>
      <w:r w:rsidRPr="0060637F">
        <w:rPr>
          <w:rFonts w:ascii="Arial" w:hAnsi="Arial" w:cs="Arial"/>
          <w:sz w:val="20"/>
          <w:szCs w:val="22"/>
        </w:rPr>
        <w:t xml:space="preserve"> Group average proportion data and group level psychometric functions for each condition. Mean of the group distribution of individual PSE (B), JND (C), γ (D) and λ (E) </w:t>
      </w:r>
      <w:r w:rsidRPr="0060637F">
        <w:rPr>
          <w:rFonts w:ascii="Arial" w:hAnsi="Arial" w:cs="Arial"/>
          <w:sz w:val="20"/>
          <w:szCs w:val="22"/>
        </w:rPr>
        <w:lastRenderedPageBreak/>
        <w:t>parameters. Error bars represent standard error. Asterisks represent those hypothesis driven contrasts that showed a significant effect.</w:t>
      </w:r>
    </w:p>
    <w:p w14:paraId="023D9C17" w14:textId="77777777" w:rsidR="00481FD7" w:rsidRPr="0060637F" w:rsidRDefault="00481FD7" w:rsidP="00481FD7">
      <w:pPr>
        <w:widowControl w:val="0"/>
        <w:autoSpaceDE w:val="0"/>
        <w:autoSpaceDN w:val="0"/>
        <w:adjustRightInd w:val="0"/>
        <w:spacing w:line="360" w:lineRule="auto"/>
        <w:ind w:left="480" w:hanging="480"/>
        <w:rPr>
          <w:rFonts w:ascii="Arial" w:hAnsi="Arial" w:cs="Arial"/>
          <w:sz w:val="22"/>
          <w:szCs w:val="22"/>
        </w:rPr>
      </w:pPr>
    </w:p>
    <w:p w14:paraId="1099D7E7" w14:textId="77777777" w:rsidR="00481FD7" w:rsidRPr="0060637F" w:rsidRDefault="00481FD7" w:rsidP="00481FD7">
      <w:pPr>
        <w:widowControl w:val="0"/>
        <w:autoSpaceDE w:val="0"/>
        <w:autoSpaceDN w:val="0"/>
        <w:adjustRightInd w:val="0"/>
        <w:spacing w:line="360" w:lineRule="auto"/>
        <w:ind w:left="480" w:hanging="480"/>
        <w:rPr>
          <w:rFonts w:ascii="Arial" w:hAnsi="Arial" w:cs="Arial"/>
          <w:sz w:val="22"/>
          <w:szCs w:val="22"/>
        </w:rPr>
      </w:pPr>
      <w:r w:rsidRPr="000E7615">
        <w:rPr>
          <w:rFonts w:ascii="Arial" w:hAnsi="Arial" w:cs="Arial"/>
          <w:noProof/>
          <w:sz w:val="22"/>
          <w:szCs w:val="22"/>
        </w:rPr>
        <w:drawing>
          <wp:inline distT="0" distB="0" distL="0" distR="0" wp14:anchorId="5F5C5E71" wp14:editId="75A00CC9">
            <wp:extent cx="5486400" cy="2024336"/>
            <wp:effectExtent l="0" t="0" r="0" b="825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024336"/>
                    </a:xfrm>
                    <a:prstGeom prst="rect">
                      <a:avLst/>
                    </a:prstGeom>
                    <a:noFill/>
                    <a:ln>
                      <a:noFill/>
                    </a:ln>
                  </pic:spPr>
                </pic:pic>
              </a:graphicData>
            </a:graphic>
          </wp:inline>
        </w:drawing>
      </w:r>
    </w:p>
    <w:p w14:paraId="78FC7F93" w14:textId="04DD536F" w:rsidR="00481FD7" w:rsidRPr="0060637F" w:rsidRDefault="00481FD7" w:rsidP="00481FD7">
      <w:pPr>
        <w:spacing w:line="360" w:lineRule="auto"/>
        <w:rPr>
          <w:rFonts w:ascii="Arial" w:hAnsi="Arial" w:cs="Arial"/>
          <w:sz w:val="20"/>
          <w:szCs w:val="22"/>
        </w:rPr>
      </w:pPr>
      <w:r w:rsidRPr="00D42439">
        <w:rPr>
          <w:rFonts w:ascii="Arial" w:hAnsi="Arial" w:cs="Arial"/>
          <w:b/>
          <w:sz w:val="20"/>
          <w:szCs w:val="22"/>
        </w:rPr>
        <w:t>Figure S3 Individual fits</w:t>
      </w:r>
      <w:r w:rsidRPr="0060637F">
        <w:rPr>
          <w:rFonts w:ascii="Arial" w:hAnsi="Arial" w:cs="Arial"/>
          <w:sz w:val="20"/>
          <w:szCs w:val="22"/>
        </w:rPr>
        <w:t xml:space="preserve"> Points represent orientation discrimination performances after averaging the proportion of responses in both base orientation conditions. Note that proportions in base orientation condition 4</w:t>
      </w:r>
      <w:r w:rsidRPr="0060637F">
        <w:rPr>
          <w:rFonts w:ascii="Arial" w:hAnsi="Arial" w:cs="Arial"/>
          <w:sz w:val="20"/>
          <w:szCs w:val="22"/>
          <w:vertAlign w:val="superscript"/>
        </w:rPr>
        <w:t>o</w:t>
      </w:r>
      <w:r w:rsidRPr="0060637F">
        <w:rPr>
          <w:rFonts w:ascii="Arial" w:hAnsi="Arial" w:cs="Arial"/>
          <w:sz w:val="20"/>
          <w:szCs w:val="22"/>
        </w:rPr>
        <w:t xml:space="preserve"> were re-oriented prior to be averaged with the -4</w:t>
      </w:r>
      <w:r w:rsidRPr="0060637F">
        <w:rPr>
          <w:rFonts w:ascii="Arial" w:hAnsi="Arial" w:cs="Arial"/>
          <w:sz w:val="20"/>
          <w:szCs w:val="22"/>
          <w:vertAlign w:val="superscript"/>
        </w:rPr>
        <w:t>o</w:t>
      </w:r>
      <w:r w:rsidR="00D42439">
        <w:rPr>
          <w:rFonts w:ascii="Arial" w:hAnsi="Arial" w:cs="Arial"/>
          <w:sz w:val="20"/>
          <w:szCs w:val="22"/>
        </w:rPr>
        <w:t xml:space="preserve"> condition. The lines depicted in each panel represent</w:t>
      </w:r>
      <w:r w:rsidRPr="0060637F">
        <w:rPr>
          <w:rFonts w:ascii="Arial" w:hAnsi="Arial" w:cs="Arial"/>
          <w:sz w:val="20"/>
          <w:szCs w:val="22"/>
        </w:rPr>
        <w:t xml:space="preserve"> the fitted psychometric functions to the averaged proportions for each participant, experimental condition and base orientation. </w:t>
      </w:r>
    </w:p>
    <w:p w14:paraId="09B72643" w14:textId="77777777" w:rsidR="00481FD7" w:rsidRDefault="00481FD7" w:rsidP="00481FD7">
      <w:pPr>
        <w:spacing w:line="360" w:lineRule="auto"/>
        <w:rPr>
          <w:rFonts w:ascii="Arial" w:hAnsi="Arial" w:cs="Arial"/>
          <w:sz w:val="20"/>
          <w:szCs w:val="22"/>
        </w:rPr>
      </w:pPr>
    </w:p>
    <w:p w14:paraId="24F244BF" w14:textId="14C1ED0F" w:rsidR="00297917" w:rsidRDefault="009340E7" w:rsidP="00481FD7">
      <w:pPr>
        <w:spacing w:line="360" w:lineRule="auto"/>
        <w:rPr>
          <w:rFonts w:ascii="Arial" w:hAnsi="Arial" w:cs="Arial"/>
          <w:sz w:val="20"/>
          <w:szCs w:val="22"/>
        </w:rPr>
      </w:pPr>
      <w:r>
        <w:rPr>
          <w:rFonts w:ascii="Arial" w:hAnsi="Arial" w:cs="Arial"/>
          <w:noProof/>
          <w:sz w:val="20"/>
          <w:szCs w:val="22"/>
        </w:rPr>
        <w:drawing>
          <wp:inline distT="0" distB="0" distL="0" distR="0" wp14:anchorId="0EEED4C4" wp14:editId="1AB8A073">
            <wp:extent cx="5486400" cy="1475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1475920"/>
                    </a:xfrm>
                    <a:prstGeom prst="rect">
                      <a:avLst/>
                    </a:prstGeom>
                    <a:noFill/>
                    <a:ln>
                      <a:noFill/>
                    </a:ln>
                  </pic:spPr>
                </pic:pic>
              </a:graphicData>
            </a:graphic>
          </wp:inline>
        </w:drawing>
      </w:r>
    </w:p>
    <w:p w14:paraId="1F2751BF" w14:textId="24374CA7" w:rsidR="009340E7" w:rsidRPr="001B5CE6" w:rsidRDefault="009340E7" w:rsidP="009340E7">
      <w:pPr>
        <w:spacing w:line="360" w:lineRule="auto"/>
        <w:rPr>
          <w:rFonts w:ascii="Arial" w:hAnsi="Arial" w:cs="Arial"/>
          <w:sz w:val="20"/>
          <w:szCs w:val="20"/>
        </w:rPr>
      </w:pPr>
      <w:r>
        <w:rPr>
          <w:rFonts w:ascii="Arial" w:hAnsi="Arial" w:cs="Arial"/>
          <w:b/>
          <w:sz w:val="20"/>
          <w:szCs w:val="22"/>
        </w:rPr>
        <w:t>Figure S4</w:t>
      </w:r>
      <w:r w:rsidRPr="00D42439">
        <w:rPr>
          <w:rFonts w:ascii="Arial" w:hAnsi="Arial" w:cs="Arial"/>
          <w:b/>
          <w:sz w:val="20"/>
          <w:szCs w:val="22"/>
        </w:rPr>
        <w:t xml:space="preserve"> Orientation discrimination performance</w:t>
      </w:r>
      <w:r w:rsidR="004308CB">
        <w:rPr>
          <w:rFonts w:ascii="Arial" w:hAnsi="Arial" w:cs="Arial"/>
          <w:b/>
          <w:sz w:val="20"/>
          <w:szCs w:val="22"/>
        </w:rPr>
        <w:t xml:space="preserve"> modeling</w:t>
      </w:r>
      <w:r>
        <w:rPr>
          <w:rFonts w:ascii="Arial" w:hAnsi="Arial" w:cs="Arial"/>
          <w:b/>
          <w:sz w:val="20"/>
          <w:szCs w:val="22"/>
        </w:rPr>
        <w:t xml:space="preserve"> </w:t>
      </w:r>
      <w:r w:rsidR="004308CB">
        <w:rPr>
          <w:rFonts w:ascii="Arial" w:hAnsi="Arial" w:cs="Arial"/>
          <w:b/>
          <w:sz w:val="20"/>
          <w:szCs w:val="22"/>
        </w:rPr>
        <w:t xml:space="preserve">only </w:t>
      </w:r>
      <w:r>
        <w:rPr>
          <w:rFonts w:ascii="Arial" w:hAnsi="Arial" w:cs="Arial"/>
          <w:b/>
          <w:sz w:val="20"/>
          <w:szCs w:val="22"/>
        </w:rPr>
        <w:t xml:space="preserve">one </w:t>
      </w:r>
      <w:r w:rsidR="004308CB" w:rsidRPr="004308CB">
        <w:rPr>
          <w:rFonts w:ascii="Arial" w:hAnsi="Arial" w:cs="Arial"/>
          <w:b/>
          <w:sz w:val="20"/>
          <w:szCs w:val="22"/>
        </w:rPr>
        <w:t>(</w:t>
      </w:r>
      <w:r w:rsidR="004308CB" w:rsidRPr="004308CB">
        <w:rPr>
          <w:rFonts w:ascii="Arial" w:hAnsi="Arial" w:cs="Arial"/>
          <w:b/>
          <w:sz w:val="20"/>
          <w:szCs w:val="20"/>
        </w:rPr>
        <w:t>γ)</w:t>
      </w:r>
      <w:r w:rsidR="004308CB">
        <w:rPr>
          <w:rFonts w:ascii="Arial" w:hAnsi="Arial" w:cs="Arial"/>
          <w:b/>
          <w:sz w:val="20"/>
          <w:szCs w:val="22"/>
        </w:rPr>
        <w:t xml:space="preserve"> </w:t>
      </w:r>
      <w:r>
        <w:rPr>
          <w:rFonts w:ascii="Arial" w:hAnsi="Arial" w:cs="Arial"/>
          <w:b/>
          <w:sz w:val="20"/>
          <w:szCs w:val="22"/>
        </w:rPr>
        <w:t>lapse parameter</w:t>
      </w:r>
      <w:r w:rsidRPr="0060637F">
        <w:rPr>
          <w:rFonts w:ascii="Arial" w:hAnsi="Arial" w:cs="Arial"/>
          <w:sz w:val="20"/>
          <w:szCs w:val="22"/>
        </w:rPr>
        <w:t xml:space="preserve"> </w:t>
      </w:r>
      <w:r>
        <w:rPr>
          <w:rFonts w:ascii="Arial" w:hAnsi="Arial" w:cs="Arial"/>
          <w:b/>
          <w:sz w:val="20"/>
          <w:szCs w:val="20"/>
        </w:rPr>
        <w:t xml:space="preserve">A: </w:t>
      </w:r>
      <w:r w:rsidRPr="001B5CE6">
        <w:rPr>
          <w:rFonts w:ascii="Arial" w:hAnsi="Arial" w:cs="Arial"/>
          <w:sz w:val="20"/>
          <w:szCs w:val="20"/>
        </w:rPr>
        <w:t>Group averaged choice probability data and group level psychometric functions for each surround condition (None, Tactile-only, Visual-only and Visuo-tactile). Mean of the group distribution of individual PSE (</w:t>
      </w:r>
      <w:r w:rsidRPr="00C048EB">
        <w:rPr>
          <w:rFonts w:ascii="Arial" w:hAnsi="Arial" w:cs="Arial"/>
          <w:b/>
          <w:i/>
          <w:sz w:val="20"/>
          <w:szCs w:val="20"/>
        </w:rPr>
        <w:t>B</w:t>
      </w:r>
      <w:r w:rsidRPr="001B5CE6">
        <w:rPr>
          <w:rFonts w:ascii="Arial" w:hAnsi="Arial" w:cs="Arial"/>
          <w:sz w:val="20"/>
          <w:szCs w:val="20"/>
        </w:rPr>
        <w:t>), JND (</w:t>
      </w:r>
      <w:r w:rsidRPr="00C048EB">
        <w:rPr>
          <w:rFonts w:ascii="Arial" w:hAnsi="Arial" w:cs="Arial"/>
          <w:b/>
          <w:i/>
          <w:sz w:val="20"/>
          <w:szCs w:val="20"/>
        </w:rPr>
        <w:t>C</w:t>
      </w:r>
      <w:r w:rsidRPr="001B5CE6">
        <w:rPr>
          <w:rFonts w:ascii="Arial" w:hAnsi="Arial" w:cs="Arial"/>
          <w:sz w:val="20"/>
          <w:szCs w:val="20"/>
        </w:rPr>
        <w:t>), γ (</w:t>
      </w:r>
      <w:r w:rsidRPr="00C048EB">
        <w:rPr>
          <w:rFonts w:ascii="Arial" w:hAnsi="Arial" w:cs="Arial"/>
          <w:b/>
          <w:i/>
          <w:sz w:val="20"/>
          <w:szCs w:val="20"/>
        </w:rPr>
        <w:t>D</w:t>
      </w:r>
      <w:r w:rsidRPr="001B5CE6">
        <w:rPr>
          <w:rFonts w:ascii="Arial" w:hAnsi="Arial" w:cs="Arial"/>
          <w:sz w:val="20"/>
          <w:szCs w:val="20"/>
        </w:rPr>
        <w:t>) parameters. Error bars represent standard error. Asterisks represent those hypothesis-driven contrasts that showed a significant effect.</w:t>
      </w:r>
    </w:p>
    <w:p w14:paraId="18585FC8" w14:textId="22D6A291" w:rsidR="009340E7" w:rsidRPr="0060637F" w:rsidRDefault="009340E7" w:rsidP="00481FD7">
      <w:pPr>
        <w:spacing w:line="360" w:lineRule="auto"/>
        <w:rPr>
          <w:rFonts w:ascii="Arial" w:hAnsi="Arial" w:cs="Arial"/>
          <w:sz w:val="20"/>
          <w:szCs w:val="22"/>
        </w:rPr>
      </w:pPr>
    </w:p>
    <w:p w14:paraId="5243958E" w14:textId="77777777" w:rsidR="00481FD7" w:rsidRPr="0060637F" w:rsidRDefault="00481FD7" w:rsidP="00481FD7">
      <w:pPr>
        <w:spacing w:line="360" w:lineRule="auto"/>
        <w:rPr>
          <w:rFonts w:ascii="Arial" w:hAnsi="Arial" w:cs="Arial"/>
          <w:sz w:val="20"/>
          <w:szCs w:val="22"/>
        </w:rPr>
      </w:pPr>
      <w:r w:rsidRPr="000E7615">
        <w:rPr>
          <w:rFonts w:ascii="Arial" w:hAnsi="Arial" w:cs="Arial"/>
          <w:noProof/>
          <w:sz w:val="20"/>
          <w:szCs w:val="22"/>
        </w:rPr>
        <w:lastRenderedPageBreak/>
        <w:drawing>
          <wp:inline distT="0" distB="0" distL="0" distR="0" wp14:anchorId="18175EE7" wp14:editId="53A07C57">
            <wp:extent cx="3443997" cy="1960702"/>
            <wp:effectExtent l="0" t="0" r="10795"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4585" cy="1961037"/>
                    </a:xfrm>
                    <a:prstGeom prst="rect">
                      <a:avLst/>
                    </a:prstGeom>
                    <a:noFill/>
                    <a:ln>
                      <a:noFill/>
                    </a:ln>
                  </pic:spPr>
                </pic:pic>
              </a:graphicData>
            </a:graphic>
          </wp:inline>
        </w:drawing>
      </w:r>
    </w:p>
    <w:p w14:paraId="05CD51CA" w14:textId="2DB0462E" w:rsidR="00481FD7" w:rsidRPr="0060637F" w:rsidRDefault="009340E7" w:rsidP="00481FD7">
      <w:pPr>
        <w:widowControl w:val="0"/>
        <w:autoSpaceDE w:val="0"/>
        <w:autoSpaceDN w:val="0"/>
        <w:adjustRightInd w:val="0"/>
        <w:spacing w:line="360" w:lineRule="auto"/>
        <w:rPr>
          <w:rFonts w:ascii="Arial" w:hAnsi="Arial" w:cs="Arial"/>
          <w:sz w:val="20"/>
          <w:szCs w:val="22"/>
        </w:rPr>
      </w:pPr>
      <w:r>
        <w:rPr>
          <w:rFonts w:ascii="Arial" w:hAnsi="Arial" w:cs="Arial"/>
          <w:b/>
          <w:sz w:val="20"/>
          <w:szCs w:val="22"/>
        </w:rPr>
        <w:t>Figure S5</w:t>
      </w:r>
      <w:r w:rsidR="00481FD7" w:rsidRPr="00D42439">
        <w:rPr>
          <w:rFonts w:ascii="Arial" w:hAnsi="Arial" w:cs="Arial"/>
          <w:b/>
          <w:sz w:val="20"/>
          <w:szCs w:val="22"/>
        </w:rPr>
        <w:t xml:space="preserve"> Correlation between the PSE and λ parameters</w:t>
      </w:r>
      <w:r w:rsidR="00481FD7" w:rsidRPr="0060637F">
        <w:rPr>
          <w:rFonts w:ascii="Arial" w:hAnsi="Arial" w:cs="Arial"/>
          <w:sz w:val="20"/>
          <w:szCs w:val="22"/>
        </w:rPr>
        <w:t xml:space="preserve"> </w:t>
      </w:r>
      <w:r w:rsidR="00D42439">
        <w:rPr>
          <w:rFonts w:ascii="Arial" w:hAnsi="Arial" w:cs="Arial"/>
          <w:sz w:val="20"/>
          <w:szCs w:val="22"/>
        </w:rPr>
        <w:t>(</w:t>
      </w:r>
      <w:r w:rsidR="00481FD7">
        <w:rPr>
          <w:rFonts w:ascii="Arial" w:hAnsi="Arial" w:cs="Arial"/>
          <w:sz w:val="20"/>
          <w:szCs w:val="22"/>
        </w:rPr>
        <w:t>A</w:t>
      </w:r>
      <w:r w:rsidR="00D42439">
        <w:rPr>
          <w:rFonts w:ascii="Arial" w:hAnsi="Arial" w:cs="Arial"/>
          <w:sz w:val="20"/>
          <w:szCs w:val="22"/>
        </w:rPr>
        <w:t>)</w:t>
      </w:r>
      <w:r w:rsidR="00481FD7">
        <w:rPr>
          <w:rFonts w:ascii="Arial" w:hAnsi="Arial" w:cs="Arial"/>
          <w:sz w:val="20"/>
          <w:szCs w:val="22"/>
        </w:rPr>
        <w:t xml:space="preserve"> </w:t>
      </w:r>
      <w:r w:rsidR="00481FD7" w:rsidRPr="0060637F">
        <w:rPr>
          <w:rFonts w:ascii="Arial" w:hAnsi="Arial" w:cs="Arial"/>
          <w:sz w:val="20"/>
          <w:szCs w:val="22"/>
        </w:rPr>
        <w:t xml:space="preserve">Each point represents </w:t>
      </w:r>
      <w:r w:rsidR="00481FD7">
        <w:rPr>
          <w:rFonts w:ascii="Arial" w:hAnsi="Arial" w:cs="Arial"/>
          <w:sz w:val="20"/>
          <w:szCs w:val="22"/>
        </w:rPr>
        <w:t>an individual</w:t>
      </w:r>
      <w:r w:rsidR="00481FD7" w:rsidRPr="0060637F">
        <w:rPr>
          <w:rFonts w:ascii="Arial" w:hAnsi="Arial" w:cs="Arial"/>
          <w:sz w:val="20"/>
          <w:szCs w:val="22"/>
        </w:rPr>
        <w:t xml:space="preserve"> PSE parameter as a function of its corresponding λ in each </w:t>
      </w:r>
      <w:r w:rsidR="00481FD7">
        <w:rPr>
          <w:rFonts w:ascii="Arial" w:hAnsi="Arial" w:cs="Arial"/>
          <w:sz w:val="20"/>
          <w:szCs w:val="22"/>
        </w:rPr>
        <w:t>surround</w:t>
      </w:r>
      <w:r w:rsidR="00481FD7" w:rsidRPr="0060637F">
        <w:rPr>
          <w:rFonts w:ascii="Arial" w:hAnsi="Arial" w:cs="Arial"/>
          <w:sz w:val="20"/>
          <w:szCs w:val="22"/>
        </w:rPr>
        <w:t xml:space="preserve"> condition. The black line represent</w:t>
      </w:r>
      <w:r w:rsidR="00481FD7">
        <w:rPr>
          <w:rFonts w:ascii="Arial" w:hAnsi="Arial" w:cs="Arial"/>
          <w:sz w:val="20"/>
          <w:szCs w:val="22"/>
        </w:rPr>
        <w:t>s</w:t>
      </w:r>
      <w:r w:rsidR="00481FD7" w:rsidRPr="0060637F">
        <w:rPr>
          <w:rFonts w:ascii="Arial" w:hAnsi="Arial" w:cs="Arial"/>
          <w:sz w:val="20"/>
          <w:szCs w:val="22"/>
        </w:rPr>
        <w:t xml:space="preserve"> the linear regression fit (R = 0.29, p = 0.014).</w:t>
      </w:r>
      <w:r w:rsidR="00481FD7">
        <w:rPr>
          <w:rFonts w:ascii="Arial" w:hAnsi="Arial" w:cs="Arial"/>
          <w:sz w:val="20"/>
          <w:szCs w:val="22"/>
        </w:rPr>
        <w:t xml:space="preserve"> </w:t>
      </w:r>
      <w:r w:rsidR="00D42439">
        <w:rPr>
          <w:rFonts w:ascii="Arial" w:hAnsi="Arial" w:cs="Arial"/>
          <w:sz w:val="20"/>
          <w:szCs w:val="22"/>
        </w:rPr>
        <w:t>(</w:t>
      </w:r>
      <w:r w:rsidR="00481FD7">
        <w:rPr>
          <w:rFonts w:ascii="Arial" w:hAnsi="Arial" w:cs="Arial"/>
          <w:sz w:val="20"/>
          <w:szCs w:val="22"/>
        </w:rPr>
        <w:t>B</w:t>
      </w:r>
      <w:r w:rsidR="00D42439">
        <w:rPr>
          <w:rFonts w:ascii="Arial" w:hAnsi="Arial" w:cs="Arial"/>
          <w:sz w:val="20"/>
          <w:szCs w:val="22"/>
        </w:rPr>
        <w:t>)</w:t>
      </w:r>
      <w:r w:rsidR="00481FD7">
        <w:rPr>
          <w:rFonts w:ascii="Arial" w:hAnsi="Arial" w:cs="Arial"/>
          <w:sz w:val="20"/>
          <w:szCs w:val="22"/>
        </w:rPr>
        <w:t xml:space="preserve"> Same data as in A but dividing the analyses by base orientation condition. </w:t>
      </w:r>
      <w:r w:rsidR="00481FD7" w:rsidRPr="0060637F">
        <w:rPr>
          <w:rFonts w:ascii="Arial" w:hAnsi="Arial" w:cs="Arial"/>
          <w:sz w:val="20"/>
          <w:szCs w:val="22"/>
        </w:rPr>
        <w:t>Correlation coefficients for the -4</w:t>
      </w:r>
      <w:r w:rsidR="00481FD7" w:rsidRPr="0060637F">
        <w:rPr>
          <w:rFonts w:ascii="Arial" w:hAnsi="Arial" w:cs="Arial"/>
          <w:sz w:val="20"/>
          <w:szCs w:val="22"/>
          <w:vertAlign w:val="superscript"/>
        </w:rPr>
        <w:t>o</w:t>
      </w:r>
      <w:r w:rsidR="00481FD7" w:rsidRPr="0060637F">
        <w:rPr>
          <w:rFonts w:ascii="Arial" w:hAnsi="Arial" w:cs="Arial"/>
          <w:sz w:val="20"/>
          <w:szCs w:val="22"/>
        </w:rPr>
        <w:t xml:space="preserve"> base orientation condition (R = 0.22, p = 0.058) and 4</w:t>
      </w:r>
      <w:r w:rsidR="00481FD7" w:rsidRPr="0060637F">
        <w:rPr>
          <w:rFonts w:ascii="Arial" w:hAnsi="Arial" w:cs="Arial"/>
          <w:sz w:val="20"/>
          <w:szCs w:val="22"/>
          <w:vertAlign w:val="superscript"/>
        </w:rPr>
        <w:t>o</w:t>
      </w:r>
      <w:r w:rsidR="00481FD7" w:rsidRPr="0060637F">
        <w:rPr>
          <w:rFonts w:ascii="Arial" w:hAnsi="Arial" w:cs="Arial"/>
          <w:sz w:val="20"/>
          <w:szCs w:val="22"/>
        </w:rPr>
        <w:t xml:space="preserve"> base orientation condition (R = 0.35, p &lt; 0.003).</w:t>
      </w:r>
    </w:p>
    <w:p w14:paraId="30C766C2" w14:textId="77777777" w:rsidR="00405B0C" w:rsidRPr="00481FD7" w:rsidRDefault="00405B0C">
      <w:pPr>
        <w:rPr>
          <w:b/>
        </w:rPr>
      </w:pPr>
    </w:p>
    <w:sectPr w:rsidR="00405B0C" w:rsidRPr="00481FD7" w:rsidSect="0077651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FD7"/>
    <w:rsid w:val="00074CA5"/>
    <w:rsid w:val="00297917"/>
    <w:rsid w:val="00405B0C"/>
    <w:rsid w:val="004308CB"/>
    <w:rsid w:val="00481FD7"/>
    <w:rsid w:val="0048768B"/>
    <w:rsid w:val="00641D76"/>
    <w:rsid w:val="00652188"/>
    <w:rsid w:val="00776517"/>
    <w:rsid w:val="00781534"/>
    <w:rsid w:val="007D31F4"/>
    <w:rsid w:val="009340E7"/>
    <w:rsid w:val="009771E2"/>
    <w:rsid w:val="00A152DF"/>
    <w:rsid w:val="00C92071"/>
    <w:rsid w:val="00D42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7A28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F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1F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1FD7"/>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F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1F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1FD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871485">
      <w:bodyDiv w:val="1"/>
      <w:marLeft w:val="0"/>
      <w:marRight w:val="0"/>
      <w:marTop w:val="0"/>
      <w:marBottom w:val="0"/>
      <w:divBdr>
        <w:top w:val="none" w:sz="0" w:space="0" w:color="auto"/>
        <w:left w:val="none" w:sz="0" w:space="0" w:color="auto"/>
        <w:bottom w:val="none" w:sz="0" w:space="0" w:color="auto"/>
        <w:right w:val="none" w:sz="0" w:space="0" w:color="auto"/>
      </w:divBdr>
      <w:divsChild>
        <w:div w:id="765732489">
          <w:marLeft w:val="1080"/>
          <w:marRight w:val="0"/>
          <w:marTop w:val="1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Bender, Ellen</cp:lastModifiedBy>
  <cp:revision>2</cp:revision>
  <dcterms:created xsi:type="dcterms:W3CDTF">2018-11-13T21:06:00Z</dcterms:created>
  <dcterms:modified xsi:type="dcterms:W3CDTF">2018-11-13T21:06:00Z</dcterms:modified>
</cp:coreProperties>
</file>