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044" w:rsidRPr="00204044" w:rsidRDefault="00204044" w:rsidP="00204044">
      <w:pPr>
        <w:spacing w:before="120"/>
        <w:jc w:val="center"/>
        <w:rPr>
          <w:rFonts w:ascii="Times New Roman" w:eastAsia="Arial" w:hAnsi="Times New Roman" w:cs="Times New Roman"/>
          <w:b/>
          <w:color w:val="auto"/>
          <w:sz w:val="24"/>
          <w:szCs w:val="24"/>
        </w:rPr>
      </w:pPr>
      <w:r w:rsidRPr="00204044">
        <w:rPr>
          <w:rFonts w:ascii="Times New Roman" w:eastAsia="Arial" w:hAnsi="Times New Roman" w:cs="Times New Roman"/>
          <w:b/>
          <w:color w:val="auto"/>
          <w:sz w:val="24"/>
          <w:szCs w:val="24"/>
        </w:rPr>
        <w:t xml:space="preserve">(5R)-5-Hydroxytriptolide (LLDT-8) induces substantial epigenetic mediated immune response network changes in fibroblast-like </w:t>
      </w:r>
      <w:proofErr w:type="spellStart"/>
      <w:r w:rsidRPr="00204044">
        <w:rPr>
          <w:rFonts w:ascii="Times New Roman" w:eastAsia="Arial" w:hAnsi="Times New Roman" w:cs="Times New Roman"/>
          <w:b/>
          <w:color w:val="auto"/>
          <w:sz w:val="24"/>
          <w:szCs w:val="24"/>
        </w:rPr>
        <w:t>synoviocytes</w:t>
      </w:r>
      <w:proofErr w:type="spellEnd"/>
      <w:r w:rsidRPr="00204044">
        <w:rPr>
          <w:rFonts w:ascii="Times New Roman" w:eastAsia="Arial" w:hAnsi="Times New Roman" w:cs="Times New Roman"/>
          <w:b/>
          <w:color w:val="auto"/>
          <w:sz w:val="24"/>
          <w:szCs w:val="24"/>
        </w:rPr>
        <w:t xml:space="preserve"> from rheumatoid arthritis patients</w:t>
      </w:r>
    </w:p>
    <w:p w:rsidR="00204044" w:rsidRPr="00204044" w:rsidRDefault="00204044" w:rsidP="00204044">
      <w:pPr>
        <w:rPr>
          <w:color w:val="auto"/>
          <w:sz w:val="24"/>
          <w:szCs w:val="24"/>
        </w:rPr>
      </w:pPr>
    </w:p>
    <w:p w:rsidR="00204044" w:rsidRPr="00204044" w:rsidRDefault="00204044" w:rsidP="00204044">
      <w:pPr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Shicheng Guo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1#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Jia</w:t>
      </w:r>
      <w:proofErr w:type="spellEnd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Liu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2,3#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, Ting Jiang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2,3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Dungyang</w:t>
      </w:r>
      <w:proofErr w:type="spellEnd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Lee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4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Rongsheng</w:t>
      </w:r>
      <w:proofErr w:type="spellEnd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Wang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2,3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Xinpeng</w:t>
      </w:r>
      <w:proofErr w:type="spellEnd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Zhou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2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Yehua</w:t>
      </w:r>
      <w:proofErr w:type="spellEnd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Jin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2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, Yi Shen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2,3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, Yan Wang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3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Fengmin</w:t>
      </w:r>
      <w:proofErr w:type="spellEnd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Bai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2,3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, Qin Ding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2,3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, Grace Wang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5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Jianyong</w:t>
      </w:r>
      <w:proofErr w:type="spellEnd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Zhang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6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, Xiaodong Zhou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7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, Steven J. Schrodi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1,8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Dongyi</w:t>
      </w:r>
      <w:proofErr w:type="spellEnd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He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2,3$</w:t>
      </w: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1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Center for Precision Medicine Research, Marshfield Clinic Research Institute, Marshfield, WI, United States, 54449</w:t>
      </w: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2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Department of Rheumatology, Shanghai </w:t>
      </w:r>
      <w:proofErr w:type="spellStart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Guanghua</w:t>
      </w:r>
      <w:proofErr w:type="spellEnd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Hospital of Integrated Traditional and Western Medicine, Shanghai 200052, China. </w:t>
      </w: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3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Arthritis Institute of integrated Traditional and Western medicine, Shanghai Chinese Medicine Research Institute, Shanghai 200052, China.</w:t>
      </w: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4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Division of Biostatistics, University of Texas School of Public Health, Houston, TX, USA</w:t>
      </w: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5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Washington University, St. Louis, Missouri, USA. 63130</w:t>
      </w:r>
    </w:p>
    <w:p w:rsidR="00204044" w:rsidRPr="00204044" w:rsidRDefault="00204044" w:rsidP="00204044">
      <w:pPr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  <w:r w:rsidRPr="00204044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6</w:t>
      </w:r>
      <w:r w:rsidRPr="00204044">
        <w:rPr>
          <w:rFonts w:ascii="Times New Roman" w:hAnsi="Times New Roman" w:cs="Times New Roman"/>
          <w:color w:val="auto"/>
          <w:sz w:val="24"/>
          <w:szCs w:val="24"/>
        </w:rPr>
        <w:t xml:space="preserve">Shenzhen Traditional Chinese Medicine Hospital and The fourth Clinical Medical College of Guangzhou University of Chinese Medicine. </w:t>
      </w:r>
      <w:proofErr w:type="spellStart"/>
      <w:r w:rsidRPr="00204044">
        <w:rPr>
          <w:rFonts w:ascii="Times New Roman" w:hAnsi="Times New Roman" w:cs="Times New Roman"/>
          <w:color w:val="auto"/>
          <w:sz w:val="24"/>
          <w:szCs w:val="24"/>
        </w:rPr>
        <w:t>Fuhua</w:t>
      </w:r>
      <w:proofErr w:type="spellEnd"/>
      <w:r w:rsidRPr="00204044">
        <w:rPr>
          <w:rFonts w:ascii="Times New Roman" w:hAnsi="Times New Roman" w:cs="Times New Roman"/>
          <w:color w:val="auto"/>
          <w:sz w:val="24"/>
          <w:szCs w:val="24"/>
        </w:rPr>
        <w:t xml:space="preserve"> Road, Shenzhen, Guangzhou, China, 518033</w:t>
      </w: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7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University of Texas Medical School at Houston, 6431 </w:t>
      </w:r>
      <w:proofErr w:type="spellStart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Fannin</w:t>
      </w:r>
      <w:proofErr w:type="spellEnd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, MSB5.270, Houston, TX 77030, USA</w:t>
      </w:r>
    </w:p>
    <w:p w:rsidR="00204044" w:rsidRPr="00204044" w:rsidRDefault="00204044" w:rsidP="00204044">
      <w:pPr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  <w:r w:rsidRPr="00204044">
        <w:rPr>
          <w:rFonts w:ascii="Times New Roman" w:eastAsia="Arial" w:hAnsi="Times New Roman" w:cs="Times New Roman"/>
          <w:color w:val="auto"/>
          <w:sz w:val="24"/>
          <w:szCs w:val="24"/>
          <w:vertAlign w:val="superscript"/>
        </w:rPr>
        <w:t>8</w:t>
      </w: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Computation and Informatics in Biology and Medicine, University of Wisconsin-Madison, Madison, WI 53706, USA</w:t>
      </w:r>
      <w:r w:rsidRPr="0020404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204044" w:rsidRPr="00204044" w:rsidRDefault="00204044" w:rsidP="00204044">
      <w:pPr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</w:p>
    <w:p w:rsidR="00204044" w:rsidRPr="00204044" w:rsidRDefault="00204044" w:rsidP="00204044">
      <w:pPr>
        <w:pStyle w:val="Heading1"/>
        <w:keepLines w:val="0"/>
        <w:widowControl/>
        <w:spacing w:before="120" w:line="240" w:lineRule="auto"/>
        <w:jc w:val="left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Correspondence: </w:t>
      </w: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Dr. </w:t>
      </w:r>
      <w:proofErr w:type="spellStart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>Dongyi</w:t>
      </w:r>
      <w:proofErr w:type="spellEnd"/>
      <w:r w:rsidRPr="00204044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He</w:t>
      </w:r>
    </w:p>
    <w:p w:rsidR="00204044" w:rsidRPr="00204044" w:rsidRDefault="00CB203F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  <w:hyperlink r:id="rId4">
        <w:r w:rsidR="00204044" w:rsidRPr="00204044">
          <w:rPr>
            <w:rFonts w:ascii="Times New Roman" w:eastAsia="Arial" w:hAnsi="Times New Roman" w:cs="Times New Roman"/>
            <w:color w:val="auto"/>
            <w:sz w:val="24"/>
            <w:szCs w:val="24"/>
          </w:rPr>
          <w:t>dongyihe@medmail.com.cn</w:t>
        </w:r>
      </w:hyperlink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204044" w:rsidRPr="00204044" w:rsidRDefault="00204044" w:rsidP="00204044">
      <w:pPr>
        <w:spacing w:before="120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171D3E" w:rsidRPr="00204044" w:rsidRDefault="00204044" w:rsidP="00204044">
      <w:pPr>
        <w:jc w:val="center"/>
        <w:rPr>
          <w:color w:val="auto"/>
        </w:rPr>
      </w:pPr>
      <w:r w:rsidRPr="00204044">
        <w:rPr>
          <w:noProof/>
          <w:color w:val="auto"/>
          <w:lang w:eastAsia="en-US"/>
        </w:rPr>
        <w:lastRenderedPageBreak/>
        <w:drawing>
          <wp:inline distT="0" distB="0" distL="0" distR="0" wp14:anchorId="28D8EEF3" wp14:editId="01A9E3A7">
            <wp:extent cx="4381593" cy="3882984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2468" cy="3901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044" w:rsidRPr="00204044" w:rsidRDefault="00204044" w:rsidP="00204044">
      <w:pPr>
        <w:widowControl/>
        <w:spacing w:before="120"/>
        <w:jc w:val="left"/>
        <w:rPr>
          <w:rFonts w:ascii="Arial" w:eastAsia="Arial" w:hAnsi="Arial" w:cs="Arial"/>
          <w:color w:val="auto"/>
          <w:sz w:val="22"/>
          <w:szCs w:val="24"/>
        </w:rPr>
      </w:pPr>
      <w:r w:rsidRPr="00204044">
        <w:rPr>
          <w:rFonts w:ascii="Arial" w:eastAsia="Arial" w:hAnsi="Arial" w:cs="Arial"/>
          <w:b/>
          <w:color w:val="auto"/>
          <w:sz w:val="22"/>
          <w:szCs w:val="24"/>
        </w:rPr>
        <w:t>Supplementary Figure 1</w:t>
      </w:r>
      <w:r w:rsidRPr="00204044">
        <w:rPr>
          <w:rFonts w:ascii="Arial" w:eastAsia="Arial" w:hAnsi="Arial" w:cs="Arial"/>
          <w:color w:val="auto"/>
          <w:sz w:val="22"/>
          <w:szCs w:val="24"/>
        </w:rPr>
        <w:t xml:space="preserve">. CCK-8 and apoptosis assay to show the cytotoxic and apoptosis effect </w:t>
      </w:r>
      <w:proofErr w:type="gramStart"/>
      <w:r w:rsidRPr="00204044">
        <w:rPr>
          <w:rFonts w:ascii="Arial" w:eastAsia="Arial" w:hAnsi="Arial" w:cs="Arial"/>
          <w:color w:val="auto"/>
          <w:sz w:val="22"/>
          <w:szCs w:val="24"/>
        </w:rPr>
        <w:t>of  LLDT</w:t>
      </w:r>
      <w:proofErr w:type="gramEnd"/>
      <w:r w:rsidRPr="00204044">
        <w:rPr>
          <w:rFonts w:ascii="Arial" w:eastAsia="Arial" w:hAnsi="Arial" w:cs="Arial"/>
          <w:color w:val="auto"/>
          <w:sz w:val="22"/>
          <w:szCs w:val="24"/>
        </w:rPr>
        <w:t xml:space="preserve">-8 to RA-FLS cells.  A.  CCK-8 assay to show LLDT-8 cytotoxic effect in different dose from 0nm/ml to 100nm/ml.  </w:t>
      </w:r>
    </w:p>
    <w:p w:rsidR="00204044" w:rsidRDefault="00204044">
      <w:pPr>
        <w:rPr>
          <w:color w:val="auto"/>
        </w:rPr>
      </w:pPr>
    </w:p>
    <w:p w:rsidR="00204044" w:rsidRDefault="00204044" w:rsidP="00204044">
      <w:pPr>
        <w:jc w:val="center"/>
        <w:rPr>
          <w:color w:val="auto"/>
        </w:rPr>
      </w:pPr>
      <w:r>
        <w:rPr>
          <w:noProof/>
          <w:lang w:eastAsia="en-US"/>
        </w:rPr>
        <w:drawing>
          <wp:inline distT="0" distB="0" distL="0" distR="0" wp14:anchorId="709004B1" wp14:editId="590670CB">
            <wp:extent cx="5704764" cy="408577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9176" cy="4103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044" w:rsidRPr="00204044" w:rsidRDefault="00204044" w:rsidP="00836AD2">
      <w:pPr>
        <w:widowControl/>
        <w:spacing w:before="120"/>
        <w:jc w:val="left"/>
        <w:rPr>
          <w:color w:val="auto"/>
        </w:rPr>
      </w:pPr>
      <w:bookmarkStart w:id="0" w:name="_GoBack"/>
      <w:r w:rsidRPr="00CB203F">
        <w:rPr>
          <w:rFonts w:ascii="Arial" w:eastAsia="Arial" w:hAnsi="Arial" w:cs="Arial"/>
          <w:b/>
          <w:color w:val="auto"/>
          <w:sz w:val="22"/>
          <w:szCs w:val="24"/>
        </w:rPr>
        <w:t>Supplementary Figure 2.</w:t>
      </w:r>
      <w:r w:rsidRPr="00204044">
        <w:rPr>
          <w:rFonts w:ascii="Arial" w:eastAsia="Arial" w:hAnsi="Arial" w:cs="Arial"/>
          <w:color w:val="auto"/>
          <w:sz w:val="22"/>
          <w:szCs w:val="24"/>
        </w:rPr>
        <w:t xml:space="preserve"> </w:t>
      </w:r>
      <w:bookmarkEnd w:id="0"/>
      <w:r w:rsidRPr="00204044">
        <w:rPr>
          <w:rFonts w:ascii="Arial" w:eastAsia="Arial" w:hAnsi="Arial" w:cs="Arial"/>
          <w:color w:val="auto"/>
          <w:sz w:val="22"/>
          <w:szCs w:val="24"/>
        </w:rPr>
        <w:t xml:space="preserve">Power analysis to estimate the minimum samples size to identify significant (q-value &lt;0.5) mRNA changes based on our dataset </w:t>
      </w:r>
      <w:hyperlink r:id="rId7" w:tooltip="Accession display" w:history="1">
        <w:r w:rsidRPr="00204044">
          <w:rPr>
            <w:rFonts w:ascii="Arial" w:eastAsia="Arial" w:hAnsi="Arial" w:cs="Arial"/>
            <w:color w:val="auto"/>
            <w:sz w:val="22"/>
            <w:szCs w:val="24"/>
          </w:rPr>
          <w:t>GSE84074</w:t>
        </w:r>
      </w:hyperlink>
      <w:r w:rsidRPr="00204044">
        <w:rPr>
          <w:rFonts w:ascii="Arial" w:eastAsia="Arial" w:hAnsi="Arial" w:cs="Arial"/>
          <w:color w:val="auto"/>
          <w:sz w:val="22"/>
          <w:szCs w:val="24"/>
        </w:rPr>
        <w:t xml:space="preserve"> with bootstrap resampling</w:t>
      </w:r>
    </w:p>
    <w:sectPr w:rsidR="00204044" w:rsidRPr="00204044" w:rsidSect="002040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182"/>
    <w:rsid w:val="00171D3E"/>
    <w:rsid w:val="00204044"/>
    <w:rsid w:val="00634297"/>
    <w:rsid w:val="00836AD2"/>
    <w:rsid w:val="00973182"/>
    <w:rsid w:val="00CB203F"/>
    <w:rsid w:val="00F2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DD8CF5"/>
  <w15:chartTrackingRefBased/>
  <w15:docId w15:val="{EF1A8B45-C63D-46BC-8158-155F3628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04044"/>
    <w:pPr>
      <w:widowControl w:val="0"/>
      <w:jc w:val="both"/>
    </w:pPr>
    <w:rPr>
      <w:rFonts w:ascii="Calibri" w:eastAsia="SimSun" w:hAnsi="Calibri" w:cs="Calibri"/>
      <w:color w:val="000000"/>
      <w:sz w:val="21"/>
      <w:szCs w:val="21"/>
      <w:lang w:eastAsia="zh-CN"/>
    </w:rPr>
  </w:style>
  <w:style w:type="paragraph" w:styleId="Heading1">
    <w:name w:val="heading 1"/>
    <w:basedOn w:val="Normal"/>
    <w:next w:val="Normal"/>
    <w:link w:val="Heading1Char"/>
    <w:rsid w:val="00204044"/>
    <w:pPr>
      <w:keepNext/>
      <w:keepLines/>
      <w:spacing w:line="720" w:lineRule="auto"/>
      <w:outlineLvl w:val="0"/>
    </w:pPr>
    <w:rPr>
      <w:rFonts w:eastAsia="Calibri"/>
      <w:b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4044"/>
    <w:rPr>
      <w:rFonts w:ascii="Calibri" w:eastAsia="Calibri" w:hAnsi="Calibri" w:cs="Calibri"/>
      <w:b/>
      <w:color w:val="000000"/>
      <w:sz w:val="44"/>
      <w:szCs w:val="4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ncbi.nlm.nih.gov/geo/query/acc.cgi?acc=GSE8407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dongyihe@medmail.com.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2EA2C5CA.dotm</Template>
  <TotalTime>6</TotalTime>
  <Pages>2</Pages>
  <Words>231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MCHS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Guo, Shicheng</dc:creator>
  <cp:keywords/>
  <dc:description/>
  <cp:lastModifiedBy>Guo, Shicheng</cp:lastModifiedBy>
  <cp:revision>6</cp:revision>
  <dcterms:created xsi:type="dcterms:W3CDTF">2019-06-06T17:21:00Z</dcterms:created>
  <dcterms:modified xsi:type="dcterms:W3CDTF">2019-06-06T18:36:00Z</dcterms:modified>
</cp:coreProperties>
</file>