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A0" w:rsidRDefault="001E12A0" w:rsidP="001E12A0">
      <w:pPr>
        <w:widowControl w:val="0"/>
        <w:rPr>
          <w:b/>
        </w:rPr>
      </w:pPr>
      <w:r>
        <w:rPr>
          <w:b/>
        </w:rPr>
        <w:t>ADDITIONAL FILES</w:t>
      </w:r>
    </w:p>
    <w:p w:rsidR="001E12A0" w:rsidRDefault="001E12A0" w:rsidP="001E12A0">
      <w:pPr>
        <w:widowControl w:val="0"/>
      </w:pPr>
    </w:p>
    <w:p w:rsidR="001E12A0" w:rsidRDefault="001E12A0" w:rsidP="001E12A0">
      <w:pPr>
        <w:spacing w:line="276" w:lineRule="auto"/>
        <w:rPr>
          <w:highlight w:val="white"/>
        </w:rPr>
      </w:pPr>
      <w:r>
        <w:rPr>
          <w:highlight w:val="white"/>
        </w:rPr>
        <w:t>Additional File 1</w:t>
      </w:r>
      <w:r>
        <w:rPr>
          <w:highlight w:val="white"/>
        </w:rPr>
        <w:tab/>
        <w:t>The SPIRIT checklist reporting guidelines.</w:t>
      </w:r>
    </w:p>
    <w:p w:rsidR="001E12A0" w:rsidRDefault="001E12A0" w:rsidP="001E12A0">
      <w:pPr>
        <w:spacing w:line="276" w:lineRule="auto"/>
        <w:rPr>
          <w:highlight w:val="white"/>
        </w:rPr>
      </w:pPr>
    </w:p>
    <w:tbl>
      <w:tblPr>
        <w:tblW w:w="0" w:type="auto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90"/>
        <w:gridCol w:w="858"/>
        <w:gridCol w:w="8392"/>
        <w:gridCol w:w="1532"/>
      </w:tblGrid>
      <w:tr w:rsidR="001E12A0" w:rsidRPr="00F60FD4" w:rsidTr="001E12A0">
        <w:trPr>
          <w:cantSplit/>
          <w:trHeight w:val="25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pStyle w:val="TableHeader"/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Section/item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12A0" w:rsidRPr="00F60FD4" w:rsidRDefault="001E12A0" w:rsidP="000501A2">
            <w:pPr>
              <w:pStyle w:val="TableHead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Item</w:t>
            </w:r>
            <w:r w:rsidRPr="00F60FD4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12A0" w:rsidRPr="00F60FD4" w:rsidRDefault="001E12A0" w:rsidP="000501A2">
            <w:pPr>
              <w:pStyle w:val="TableHead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FD4">
              <w:rPr>
                <w:rFonts w:ascii="Arial" w:hAnsi="Arial" w:cs="Arial"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E12A0" w:rsidRPr="00F60FD4" w:rsidRDefault="001E12A0" w:rsidP="000501A2">
            <w:pPr>
              <w:pStyle w:val="TableHead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Present in manuscript</w:t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b/>
                <w:sz w:val="22"/>
                <w:szCs w:val="22"/>
              </w:rPr>
              <w:t>Administrative information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E12A0" w:rsidRPr="00F60FD4" w:rsidRDefault="001E12A0" w:rsidP="000501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Title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Descriptive title identifying the study design, population, interventions, and, if applicable, trial acronym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Trial registration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2a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Trial identifier and registry name. If not yet registered, name of intended registry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vMerge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2b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All items from the World Health Organization Trial Registration Data Set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Protocol version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Date and version identifier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Sources and types of financial, material, and other support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Del="00BE0F12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Roles and responsibilities</w:t>
            </w:r>
          </w:p>
        </w:tc>
        <w:tc>
          <w:tcPr>
            <w:tcW w:w="0" w:type="auto"/>
          </w:tcPr>
          <w:p w:rsidR="001E12A0" w:rsidRPr="00F60FD4" w:rsidDel="00A15E10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5a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Names, affiliations, and roles of protocol contributors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93"/>
        </w:trPr>
        <w:tc>
          <w:tcPr>
            <w:tcW w:w="0" w:type="auto"/>
            <w:vMerge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5b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Name and contact information for the trial sponsor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5c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Role of study sponsor and funders, if any, in study design; collection, management, analysis, and interpretation of data; writing of the report; and the decision to submit the report for publication, including whether they will have ultimate authority over any of these activities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5d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Composition, roles, and responsibilities of the coordinating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centre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steering committee, endpoint adjudication committee, data management team, and other individuals or groups overseeing the trial, if applicable (see Item 21a for data monitoring committee)</w:t>
            </w:r>
            <w:bookmarkStart w:id="0" w:name="_GoBack"/>
            <w:bookmarkEnd w:id="0"/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Introduction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lastRenderedPageBreak/>
              <w:t>Background and rationale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6a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Description of research question and justification for undertaking the trial, including summary of relevant studies (published and unpublished) examining benefits and harms for each intervention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6b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Explanation for choice of comparators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Objectives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Specific objectives or hypotheses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1238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Trial design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Description of trial design including type of trial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parallel group, crossover, factorial, single group), allocation ratio, and framework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, superiority, equivalence,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noninferiority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exploratory)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gridSpan w:val="3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Methods: Participants, interventions, and outcomes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Study setting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Description of study settings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community clinic, academic hospital) and list of countries where data will be collected. Reference to where list of study sites can be obtained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Eligibility criteria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Inclusion and exclusion criteria for participants. If applicable, eligibility criteria for study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centres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 and individuals who will perform the interventions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surgeons, psychotherapists)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vMerge w:val="restart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Interventions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11a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Interventions for each group with sufficient detail to allow replication, including how and when they will be administered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vMerge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11b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Criteria for discontinuing or modifying allocated interventions for a given trial participant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drug dose change in response to harms, participant request, or improving/worsening disease)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vMerge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11c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Strategies to improve adherence to intervention protocols, and any procedures for monitoring adherence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drug tablet return, laboratory tests)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vMerge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11d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Relevant concomitant care and interventions that are permitted or prohibited during the trial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lastRenderedPageBreak/>
              <w:t>Outcomes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Primary, secondary, and other outcomes, including the specific measurement variable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systolic blood pressure), analysis metric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change from baseline, final value, time to event), method of aggregation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median, proportion), and time point for each outcome. Explanation of the clinical relevance of chosen efficacy and harm outcomes is strongly recommended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Participant timeline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Time schedule of enrolment, interventions (including any run-ins and washouts), assessments, and visits for participants. A schematic diagram is highly recommended (see </w:t>
            </w:r>
            <w:r>
              <w:rPr>
                <w:rFonts w:ascii="Arial" w:hAnsi="Arial" w:cs="Arial"/>
                <w:sz w:val="22"/>
                <w:szCs w:val="22"/>
              </w:rPr>
              <w:t>Figure</w:t>
            </w:r>
            <w:r w:rsidRPr="00F60FD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Sample size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Estimated number of participants needed to achieve study objectives and how it was determined, including clinical and statistical assumptions supporting any sample size calculations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Recruitment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Strategies for achieving adequate participant enrolment to reach target sample size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gridSpan w:val="3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b/>
                <w:sz w:val="22"/>
                <w:szCs w:val="22"/>
              </w:rPr>
              <w:t>Methods: Assignment of interventions (for controlled trials)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Allocation: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tabs>
                <w:tab w:val="left" w:pos="180"/>
              </w:tabs>
              <w:ind w:left="270"/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Sequence generation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16a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Method of generating the allocation sequence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computer-generated random numbers), and list of any factors for stratification. To reduce predictability of a random sequence, details of any planned restriction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, blocking) should be provided in a separate document that is unavailable to those who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enrol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 participants or assign interventions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ind w:left="270"/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Allocation concealment mechanism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16b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Mechanism of implementing the allocation sequence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central telephone; sequentially numbered, opaque, sealed envelopes), describing any steps to conceal the sequence until interventions are assigned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ind w:left="270"/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Implementation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16c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Who will generate the allocation sequence, who will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enrol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 participants, and who will assign participants to interventions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Blinding (masking)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17a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Who will be blinded after assignment to interventions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trial participants, care providers, outcome assessors, data analysts), and how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17b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If blinded, circumstances under which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unblinding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 is permissible, and procedure for revealing a participant’s allocated intervention during the trial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gridSpan w:val="3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b/>
                <w:sz w:val="22"/>
                <w:szCs w:val="22"/>
              </w:rPr>
              <w:lastRenderedPageBreak/>
              <w:t>Methods: Data collection, management, and analysis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Data collection methods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18a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Plans for assessment and collection of outcome, baseline, and other trial data, including any </w:t>
            </w:r>
            <w:r w:rsidRPr="00F60FD4">
              <w:rPr>
                <w:rFonts w:ascii="Arial" w:hAnsi="Arial" w:cs="Arial"/>
                <w:bCs/>
                <w:sz w:val="22"/>
                <w:szCs w:val="22"/>
              </w:rPr>
              <w:t>related processes to promote data quality</w:t>
            </w:r>
            <w:r w:rsidRPr="00F60FD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duplicate measurements, training of assessors) and a description of study instruments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questionnaires, laboratory tests) along with their reliability and validity, if known. Reference to where data collection forms can be found, if not in the protocol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18b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Plans to promote participant retention and complete follow-up, including list of any outcome data to be collected for participants who discontinue or deviate from intervention protocols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Data management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Plans for data entry, coding, security, and storage, including any </w:t>
            </w:r>
            <w:r w:rsidRPr="00F60FD4">
              <w:rPr>
                <w:rFonts w:ascii="Arial" w:hAnsi="Arial" w:cs="Arial"/>
                <w:bCs/>
                <w:sz w:val="22"/>
                <w:szCs w:val="22"/>
              </w:rPr>
              <w:t>related processes to promote data quality</w:t>
            </w:r>
            <w:r w:rsidRPr="00F60FD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double data entry</w:t>
            </w:r>
            <w:r w:rsidRPr="00F60FD4">
              <w:rPr>
                <w:rFonts w:ascii="Arial" w:hAnsi="Arial" w:cs="Arial"/>
                <w:bCs/>
                <w:sz w:val="22"/>
                <w:szCs w:val="22"/>
              </w:rPr>
              <w:t>; range checks for data values</w:t>
            </w:r>
            <w:r w:rsidRPr="00F60FD4">
              <w:rPr>
                <w:rFonts w:ascii="Arial" w:hAnsi="Arial" w:cs="Arial"/>
                <w:sz w:val="22"/>
                <w:szCs w:val="22"/>
              </w:rPr>
              <w:t>). Reference to where details of data management procedures can be found, if not in the protocol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Statistical methods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20a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Statistical methods for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analysing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 primary and secondary outcomes. Reference to where other details of the statistical analysis plan can be found, if not in the protocol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20b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Methods for any additional analyses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subgroup and adjusted analyses)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20c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Definition of analysis population relating to protocol non-adherence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, as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randomised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 analysis), and any statistical methods to handle missing data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multiple imputation)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gridSpan w:val="3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b/>
                <w:sz w:val="22"/>
                <w:szCs w:val="22"/>
              </w:rPr>
              <w:t xml:space="preserve">Methods: </w:t>
            </w:r>
            <w:r w:rsidRPr="00F60FD4" w:rsidDel="004A255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F60FD4">
              <w:rPr>
                <w:rFonts w:ascii="Arial" w:hAnsi="Arial" w:cs="Arial"/>
                <w:b/>
                <w:sz w:val="22"/>
                <w:szCs w:val="22"/>
              </w:rPr>
              <w:t>onitoring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Data monitoring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21a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Composition of data monitoring committee (DMC); summary of its role and reporting structure; statement of whether it is independent from the sponsor and competing interests; and reference to where further details about its charter can be found, if not in the protocol. Alternatively, an explanation of why a DMC is not needed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491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21b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Description of any interim analyses and stopping guidelines, including who will have access to these interim results and make the final decision to terminate the trial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Harms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Plans for collecting, assessing, reporting, and managing solicited and spontaneously reported adverse events and other unintended effects of trial interventions or trial conduct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lastRenderedPageBreak/>
              <w:t>Auditing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Frequency and procedures for auditing trial conduct, if any, and whether the process will be independent from investigators and the sponsor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gridSpan w:val="3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Ethics and dissemination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Research ethics approval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Plans for seeking research ethics committee/institutional review board (REC/IRB) approval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Protocol amendments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Plans for communicating important protocol modifications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changes to eligibility criteria, outcomes, analyses) to relevant parties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investigators, REC/IRBs, trial participants, trial registries, journals, regulators)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Consent or assent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26a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Who will obtain informed consent or assent from potential trial participants or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authorised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 surrogates, and how (see Item 32)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26b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Additional consent provisions for collection and use of participant data and biological specimens in ancillary studies, if applicable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Confidentiality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How personal information about potential and enrolled participants will be collected, shared, and maintained in order to protect confidentiality before, during, and after the trial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Declaration of interests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Financial and other competing interests for principal investigators for the overall trial and each study site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Access to data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Statement of who will have access to the final trial dataset, and disclosure of contractual agreements that limit such access for investigators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blPrEx>
          <w:shd w:val="clear" w:color="auto" w:fill="FFFFFF"/>
        </w:tblPrEx>
        <w:trPr>
          <w:cantSplit/>
          <w:trHeight w:val="259"/>
        </w:trPr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Ancillary and post-trial care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Provisions, if any, for ancillary and post-trial care, and for compensation to those who suffer harm from trial participation</w:t>
            </w:r>
          </w:p>
        </w:tc>
        <w:tc>
          <w:tcPr>
            <w:tcW w:w="0" w:type="auto"/>
            <w:shd w:val="clear" w:color="auto" w:fill="FFFFFF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Dissemination policy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31a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Plans for investigators and sponsor to communicate trial results to participants, healthcare professionals, the public, and other relevant groups (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>, via publication, reporting in results databases, or other data sharing arrangements), including any publication restrictions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31b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Authorship eligibility guidelines and any intended use of professional writers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31c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Plans, if any, for granting public access to the full protocol, participant-level dataset, and statistical code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Appendices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Informed consent materials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 xml:space="preserve">Model consent form and other related documentation given to participants and </w:t>
            </w:r>
            <w:proofErr w:type="spellStart"/>
            <w:r w:rsidRPr="00F60FD4">
              <w:rPr>
                <w:rFonts w:ascii="Arial" w:hAnsi="Arial" w:cs="Arial"/>
                <w:sz w:val="22"/>
                <w:szCs w:val="22"/>
              </w:rPr>
              <w:t>authorised</w:t>
            </w:r>
            <w:proofErr w:type="spellEnd"/>
            <w:r w:rsidRPr="00F60FD4">
              <w:rPr>
                <w:rFonts w:ascii="Arial" w:hAnsi="Arial" w:cs="Arial"/>
                <w:sz w:val="22"/>
                <w:szCs w:val="22"/>
              </w:rPr>
              <w:t xml:space="preserve"> surrogates</w:t>
            </w:r>
          </w:p>
        </w:tc>
        <w:tc>
          <w:tcPr>
            <w:tcW w:w="0" w:type="auto"/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</w:tr>
      <w:tr w:rsidR="001E12A0" w:rsidRPr="00F60FD4" w:rsidTr="001E12A0">
        <w:trPr>
          <w:cantSplit/>
          <w:trHeight w:val="259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Biological specimens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 w:rsidRPr="00F60FD4">
              <w:rPr>
                <w:rFonts w:ascii="Arial" w:hAnsi="Arial" w:cs="Arial"/>
                <w:sz w:val="22"/>
                <w:szCs w:val="22"/>
              </w:rPr>
              <w:t>Plans for collection, laboratory evaluation, and storage of biological specimens for genetic or molecular analysis in the current trial and for future use in ancillary studies, if applicable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E12A0" w:rsidRPr="00F60FD4" w:rsidRDefault="001E12A0" w:rsidP="000501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:rsidR="001E12A0" w:rsidRDefault="001E12A0" w:rsidP="001E12A0">
      <w:pPr>
        <w:spacing w:line="276" w:lineRule="auto"/>
        <w:rPr>
          <w:highlight w:val="white"/>
        </w:rPr>
      </w:pPr>
      <w:r>
        <w:rPr>
          <w:highlight w:val="white"/>
        </w:rPr>
        <w:br w:type="page"/>
      </w:r>
    </w:p>
    <w:p w:rsidR="001E12A0" w:rsidRDefault="001E12A0" w:rsidP="001E12A0">
      <w:pPr>
        <w:widowControl w:val="0"/>
        <w:rPr>
          <w:highlight w:val="white"/>
        </w:rPr>
        <w:sectPr w:rsidR="001E12A0" w:rsidSect="00682D2E">
          <w:pgSz w:w="15840" w:h="12240" w:orient="landscape"/>
          <w:pgMar w:top="1440" w:right="1440" w:bottom="1440" w:left="1440" w:header="720" w:footer="720" w:gutter="0"/>
          <w:pgNumType w:start="0"/>
          <w:cols w:space="720"/>
          <w:titlePg/>
        </w:sectPr>
      </w:pPr>
    </w:p>
    <w:p w:rsidR="008154CE" w:rsidRPr="001E12A0" w:rsidRDefault="008154CE" w:rsidP="001E12A0"/>
    <w:sectPr w:rsidR="008154CE" w:rsidRPr="001E12A0" w:rsidSect="001E12A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2A0"/>
    <w:rsid w:val="001E12A0"/>
    <w:rsid w:val="00370E4B"/>
    <w:rsid w:val="008154CE"/>
    <w:rsid w:val="00C6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er">
    <w:name w:val="TableHeader"/>
    <w:basedOn w:val="Normal"/>
    <w:rsid w:val="001E12A0"/>
    <w:pPr>
      <w:spacing w:before="120"/>
    </w:pPr>
    <w:rPr>
      <w:b/>
      <w:szCs w:val="20"/>
      <w:lang w:val="en-GB"/>
    </w:rPr>
  </w:style>
  <w:style w:type="paragraph" w:customStyle="1" w:styleId="TableSubHead">
    <w:name w:val="TableSubHead"/>
    <w:basedOn w:val="TableHeader"/>
    <w:rsid w:val="001E1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er">
    <w:name w:val="TableHeader"/>
    <w:basedOn w:val="Normal"/>
    <w:rsid w:val="001E12A0"/>
    <w:pPr>
      <w:spacing w:before="120"/>
    </w:pPr>
    <w:rPr>
      <w:b/>
      <w:szCs w:val="20"/>
      <w:lang w:val="en-GB"/>
    </w:rPr>
  </w:style>
  <w:style w:type="paragraph" w:customStyle="1" w:styleId="TableSubHead">
    <w:name w:val="TableSubHead"/>
    <w:basedOn w:val="TableHeader"/>
    <w:rsid w:val="001E1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1433</Words>
  <Characters>8111</Characters>
  <Application>Microsoft Office Word</Application>
  <DocSecurity>0</DocSecurity>
  <Lines>238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JLAMARI</dc:creator>
  <cp:lastModifiedBy>JLAMARI</cp:lastModifiedBy>
  <cp:revision>1</cp:revision>
  <dcterms:created xsi:type="dcterms:W3CDTF">2019-08-07T17:05:00Z</dcterms:created>
  <dcterms:modified xsi:type="dcterms:W3CDTF">2019-08-07T17:06:00Z</dcterms:modified>
</cp:coreProperties>
</file>