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1CB79" w14:textId="56ED4F9F" w:rsidR="00E807B7" w:rsidRPr="0031403E" w:rsidRDefault="00126DEA" w:rsidP="0031403E">
      <w:r w:rsidRPr="0031403E">
        <w:t>CPX-351 (</w:t>
      </w:r>
      <w:proofErr w:type="spellStart"/>
      <w:proofErr w:type="gramStart"/>
      <w:r w:rsidRPr="0031403E">
        <w:t>Cytarabine:Daunorubicin</w:t>
      </w:r>
      <w:proofErr w:type="spellEnd"/>
      <w:proofErr w:type="gramEnd"/>
      <w:r w:rsidRPr="0031403E">
        <w:t>) Liposome for Injection Versus Conventional Cytarabine Plus Daunorubicin in Older Patients With Newly Diagnosed Secondary Acute Myeloid Leukemia</w:t>
      </w:r>
    </w:p>
    <w:p w14:paraId="6914659E" w14:textId="4E8B5CF4" w:rsidR="00126DEA" w:rsidRPr="0031403E" w:rsidRDefault="00126DEA" w:rsidP="0031403E"/>
    <w:p w14:paraId="5379CE76" w14:textId="1B373756" w:rsidR="00126DEA" w:rsidRPr="0031403E" w:rsidRDefault="00126DEA" w:rsidP="0031403E">
      <w:r w:rsidRPr="0031403E">
        <w:t>Lancet et al</w:t>
      </w:r>
    </w:p>
    <w:p w14:paraId="06637F48" w14:textId="3CE3C8A5" w:rsidR="0031403E" w:rsidRDefault="003140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p w14:paraId="09954526" w14:textId="77777777" w:rsidR="005D75ED" w:rsidRPr="00E70CA5" w:rsidRDefault="005D75ED" w:rsidP="00EC116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F5339BC" w14:textId="741A1AA9" w:rsidR="00BB41ED" w:rsidRDefault="00BB41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 Table of Contents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Page</w:t>
      </w:r>
    </w:p>
    <w:p w14:paraId="3AD5446A" w14:textId="026C9727" w:rsidR="00BB41ED" w:rsidRPr="00A55C6B" w:rsidRDefault="00405A11" w:rsidP="00A55C6B">
      <w:pPr>
        <w:pStyle w:val="ListParagraph"/>
        <w:numPr>
          <w:ilvl w:val="0"/>
          <w:numId w:val="4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05A11">
        <w:rPr>
          <w:rFonts w:ascii="Times New Roman" w:hAnsi="Times New Roman" w:cs="Times New Roman"/>
          <w:sz w:val="24"/>
          <w:szCs w:val="24"/>
        </w:rPr>
        <w:t>Exploratory</w:t>
      </w:r>
      <w:r w:rsidR="00EE736B">
        <w:rPr>
          <w:rFonts w:ascii="Times New Roman" w:hAnsi="Times New Roman" w:cs="Times New Roman"/>
          <w:sz w:val="24"/>
          <w:szCs w:val="24"/>
        </w:rPr>
        <w:t xml:space="preserve"> </w:t>
      </w:r>
      <w:r w:rsidR="00877B58">
        <w:rPr>
          <w:rFonts w:ascii="Times New Roman" w:hAnsi="Times New Roman" w:cs="Times New Roman"/>
          <w:sz w:val="24"/>
          <w:szCs w:val="24"/>
        </w:rPr>
        <w:t xml:space="preserve">subgroup </w:t>
      </w:r>
      <w:r w:rsidR="00EE736B">
        <w:rPr>
          <w:rFonts w:ascii="Times New Roman" w:hAnsi="Times New Roman" w:cs="Times New Roman"/>
          <w:sz w:val="24"/>
          <w:szCs w:val="24"/>
        </w:rPr>
        <w:t>analyses</w:t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</w:r>
      <w:r w:rsidR="00EE736B">
        <w:rPr>
          <w:rFonts w:ascii="Times New Roman" w:hAnsi="Times New Roman" w:cs="Times New Roman"/>
          <w:sz w:val="24"/>
          <w:szCs w:val="24"/>
        </w:rPr>
        <w:tab/>
        <w:t>2</w:t>
      </w:r>
    </w:p>
    <w:p w14:paraId="16475878" w14:textId="496E371A" w:rsidR="00BB41ED" w:rsidRPr="00A55C6B" w:rsidRDefault="00064A6B" w:rsidP="00A55C6B">
      <w:pPr>
        <w:pStyle w:val="ListParagraph"/>
        <w:numPr>
          <w:ilvl w:val="0"/>
          <w:numId w:val="4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>Supplementary f</w:t>
      </w:r>
      <w:r w:rsidR="00BB41ED" w:rsidRPr="00A55C6B">
        <w:rPr>
          <w:rFonts w:ascii="Times New Roman" w:hAnsi="Times New Roman" w:cs="Times New Roman"/>
          <w:sz w:val="24"/>
          <w:szCs w:val="24"/>
        </w:rPr>
        <w:t>igures</w:t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  <w:t>4</w:t>
      </w:r>
    </w:p>
    <w:p w14:paraId="2FDEACBE" w14:textId="2C1DE25F" w:rsidR="00BB41ED" w:rsidRPr="00A55C6B" w:rsidRDefault="00BB41ED" w:rsidP="00E22DCB">
      <w:pPr>
        <w:pStyle w:val="ListParagraph"/>
        <w:spacing w:line="480" w:lineRule="auto"/>
        <w:ind w:left="1080" w:right="144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 xml:space="preserve">Figure S1. </w:t>
      </w:r>
      <w:r w:rsidR="00E22DCB" w:rsidRPr="00E22DCB">
        <w:rPr>
          <w:rFonts w:ascii="Times New Roman" w:hAnsi="Times New Roman" w:cs="Times New Roman"/>
          <w:sz w:val="24"/>
          <w:szCs w:val="24"/>
        </w:rPr>
        <w:t xml:space="preserve"> </w:t>
      </w:r>
      <w:r w:rsidR="00E22DCB">
        <w:rPr>
          <w:rFonts w:ascii="Times New Roman" w:hAnsi="Times New Roman" w:cs="Times New Roman"/>
          <w:sz w:val="24"/>
          <w:szCs w:val="24"/>
        </w:rPr>
        <w:t xml:space="preserve">Kaplan-Meier curve of </w:t>
      </w:r>
      <w:proofErr w:type="spellStart"/>
      <w:r w:rsidR="00E22DCB">
        <w:rPr>
          <w:rFonts w:ascii="Times New Roman" w:hAnsi="Times New Roman" w:cs="Times New Roman"/>
          <w:sz w:val="24"/>
          <w:szCs w:val="24"/>
        </w:rPr>
        <w:t>cummulative</w:t>
      </w:r>
      <w:proofErr w:type="spellEnd"/>
      <w:r w:rsidR="00E22DCB">
        <w:rPr>
          <w:rFonts w:ascii="Times New Roman" w:hAnsi="Times New Roman" w:cs="Times New Roman"/>
          <w:sz w:val="24"/>
          <w:szCs w:val="24"/>
        </w:rPr>
        <w:t xml:space="preserve"> incidence of re</w:t>
      </w:r>
      <w:r w:rsidR="00E123B6">
        <w:rPr>
          <w:rFonts w:ascii="Times New Roman" w:hAnsi="Times New Roman" w:cs="Times New Roman"/>
          <w:sz w:val="24"/>
          <w:szCs w:val="24"/>
        </w:rPr>
        <w:t>lapse</w:t>
      </w:r>
      <w:r w:rsidR="00E22DCB">
        <w:rPr>
          <w:rFonts w:ascii="Times New Roman" w:hAnsi="Times New Roman" w:cs="Times New Roman"/>
          <w:sz w:val="24"/>
          <w:szCs w:val="24"/>
        </w:rPr>
        <w:t xml:space="preserve"> for patients achieving CR or </w:t>
      </w:r>
      <w:proofErr w:type="spellStart"/>
      <w:r w:rsidR="00E22DCB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="00E22DCB">
        <w:rPr>
          <w:rFonts w:ascii="Times New Roman" w:hAnsi="Times New Roman" w:cs="Times New Roman"/>
          <w:sz w:val="24"/>
          <w:szCs w:val="24"/>
        </w:rPr>
        <w:t>.</w:t>
      </w:r>
    </w:p>
    <w:p w14:paraId="286FFAF1" w14:textId="387B17B0" w:rsidR="00BB41ED" w:rsidRPr="00A55C6B" w:rsidRDefault="00BB41ED" w:rsidP="00A55C6B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>Figure S</w:t>
      </w:r>
      <w:r w:rsidR="00622F99">
        <w:rPr>
          <w:rFonts w:ascii="Times New Roman" w:hAnsi="Times New Roman" w:cs="Times New Roman"/>
          <w:sz w:val="24"/>
          <w:szCs w:val="24"/>
        </w:rPr>
        <w:t>2</w:t>
      </w:r>
      <w:r w:rsidRPr="00A55C6B">
        <w:rPr>
          <w:rFonts w:ascii="Times New Roman" w:hAnsi="Times New Roman" w:cs="Times New Roman"/>
          <w:sz w:val="24"/>
          <w:szCs w:val="24"/>
        </w:rPr>
        <w:t xml:space="preserve">. Complete recovery counts for patients achieving CR or </w:t>
      </w:r>
      <w:proofErr w:type="spellStart"/>
      <w:r w:rsidRPr="00A55C6B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A55C6B">
        <w:rPr>
          <w:rFonts w:ascii="Times New Roman" w:hAnsi="Times New Roman" w:cs="Times New Roman"/>
          <w:sz w:val="24"/>
          <w:szCs w:val="24"/>
        </w:rPr>
        <w:t>.</w:t>
      </w:r>
    </w:p>
    <w:p w14:paraId="7AA48D21" w14:textId="433120AA" w:rsidR="00BB41ED" w:rsidRPr="00A55C6B" w:rsidRDefault="00064A6B" w:rsidP="00A55C6B">
      <w:pPr>
        <w:pStyle w:val="ListParagraph"/>
        <w:numPr>
          <w:ilvl w:val="0"/>
          <w:numId w:val="4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>Supplementary t</w:t>
      </w:r>
      <w:r w:rsidR="00BB41ED" w:rsidRPr="00A55C6B">
        <w:rPr>
          <w:rFonts w:ascii="Times New Roman" w:hAnsi="Times New Roman" w:cs="Times New Roman"/>
          <w:sz w:val="24"/>
          <w:szCs w:val="24"/>
        </w:rPr>
        <w:t>ables</w:t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A55C6B">
        <w:rPr>
          <w:rFonts w:ascii="Times New Roman" w:hAnsi="Times New Roman" w:cs="Times New Roman"/>
          <w:sz w:val="24"/>
          <w:szCs w:val="24"/>
        </w:rPr>
        <w:tab/>
      </w:r>
      <w:r w:rsidR="00BB41ED" w:rsidRPr="00A55C6B">
        <w:rPr>
          <w:rFonts w:ascii="Times New Roman" w:hAnsi="Times New Roman" w:cs="Times New Roman"/>
          <w:sz w:val="24"/>
          <w:szCs w:val="24"/>
        </w:rPr>
        <w:tab/>
      </w:r>
      <w:r w:rsidR="00F94ECC">
        <w:rPr>
          <w:rFonts w:ascii="Times New Roman" w:hAnsi="Times New Roman" w:cs="Times New Roman"/>
          <w:sz w:val="24"/>
          <w:szCs w:val="24"/>
        </w:rPr>
        <w:t>6</w:t>
      </w:r>
    </w:p>
    <w:p w14:paraId="2B02DFA2" w14:textId="77777777" w:rsidR="00BB41ED" w:rsidRPr="00A55C6B" w:rsidRDefault="00BB41ED" w:rsidP="00A55C6B">
      <w:pPr>
        <w:pStyle w:val="ListParagraph"/>
        <w:spacing w:line="48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 xml:space="preserve">Table </w:t>
      </w:r>
      <w:r w:rsidRPr="00A55C6B">
        <w:rPr>
          <w:rFonts w:ascii="Times New Roman" w:eastAsia="Times New Roman" w:hAnsi="Times New Roman" w:cs="Times New Roman"/>
          <w:bCs/>
          <w:sz w:val="24"/>
          <w:szCs w:val="24"/>
        </w:rPr>
        <w:t>S1. Univariate Cox Regression Analysis for OS</w:t>
      </w:r>
    </w:p>
    <w:p w14:paraId="60962F9E" w14:textId="77777777" w:rsidR="00BB41ED" w:rsidRPr="00A55C6B" w:rsidRDefault="00BB41ED" w:rsidP="000D5438">
      <w:pPr>
        <w:pStyle w:val="ListParagraph"/>
        <w:spacing w:after="0" w:line="48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5C6B">
        <w:rPr>
          <w:rFonts w:ascii="Times New Roman" w:eastAsia="Times New Roman" w:hAnsi="Times New Roman" w:cs="Times New Roman"/>
          <w:bCs/>
          <w:sz w:val="24"/>
          <w:szCs w:val="24"/>
        </w:rPr>
        <w:t>Table S2. Multivariate Cox Regression Analysis for OS</w:t>
      </w:r>
    </w:p>
    <w:p w14:paraId="18A17F29" w14:textId="77777777" w:rsidR="00C26937" w:rsidRDefault="00BB41ED" w:rsidP="000D5438">
      <w:pPr>
        <w:pStyle w:val="ListParagraph"/>
        <w:spacing w:after="0" w:line="480" w:lineRule="auto"/>
        <w:ind w:left="1080" w:right="144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t>Table S3. Demographic and Baseline Clinical Characteristics of Patients Who Underwent Allogeneic HCT</w:t>
      </w:r>
    </w:p>
    <w:p w14:paraId="40537FBB" w14:textId="61B74595" w:rsidR="000024D4" w:rsidRDefault="000024D4" w:rsidP="000024D4">
      <w:pPr>
        <w:spacing w:after="0" w:line="48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0D5438">
        <w:rPr>
          <w:rFonts w:ascii="Times New Roman" w:hAnsi="Times New Roman" w:cs="Times New Roman"/>
          <w:sz w:val="24"/>
          <w:szCs w:val="24"/>
        </w:rPr>
        <w:t>Table S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D54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Causes of Death by Treatment Arm</w:t>
      </w:r>
    </w:p>
    <w:p w14:paraId="16083188" w14:textId="11821E72" w:rsidR="000D5438" w:rsidRDefault="00C26937" w:rsidP="000D5438">
      <w:pPr>
        <w:pStyle w:val="ListParagraph"/>
        <w:spacing w:after="0" w:line="480" w:lineRule="auto"/>
        <w:ind w:left="1080" w:right="1440"/>
        <w:rPr>
          <w:rFonts w:ascii="Times New Roman" w:hAnsi="Times New Roman" w:cs="Times New Roman"/>
          <w:sz w:val="24"/>
          <w:szCs w:val="24"/>
        </w:rPr>
      </w:pPr>
      <w:r w:rsidRPr="00C26937">
        <w:rPr>
          <w:rFonts w:ascii="Times New Roman" w:hAnsi="Times New Roman" w:cs="Times New Roman"/>
          <w:sz w:val="24"/>
          <w:szCs w:val="24"/>
        </w:rPr>
        <w:t>Table S</w:t>
      </w:r>
      <w:r w:rsidR="000024D4">
        <w:rPr>
          <w:rFonts w:ascii="Times New Roman" w:hAnsi="Times New Roman" w:cs="Times New Roman"/>
          <w:sz w:val="24"/>
          <w:szCs w:val="24"/>
        </w:rPr>
        <w:t>5</w:t>
      </w:r>
      <w:r w:rsidRPr="00C26937">
        <w:rPr>
          <w:rFonts w:ascii="Times New Roman" w:hAnsi="Times New Roman" w:cs="Times New Roman"/>
          <w:sz w:val="24"/>
          <w:szCs w:val="24"/>
        </w:rPr>
        <w:t>. Demographic and Baseline Clinical Characteristics of Male and Female Patients</w:t>
      </w:r>
    </w:p>
    <w:p w14:paraId="3068ECAB" w14:textId="071043DD" w:rsidR="00304C15" w:rsidRPr="00A55C6B" w:rsidRDefault="00304C15" w:rsidP="00A64492">
      <w:pPr>
        <w:pStyle w:val="ListParagraph"/>
        <w:spacing w:line="480" w:lineRule="auto"/>
        <w:ind w:left="1080" w:right="1440"/>
        <w:rPr>
          <w:rFonts w:ascii="Times New Roman" w:hAnsi="Times New Roman" w:cs="Times New Roman"/>
          <w:sz w:val="24"/>
          <w:szCs w:val="24"/>
        </w:rPr>
      </w:pPr>
      <w:r w:rsidRPr="00A55C6B">
        <w:rPr>
          <w:rFonts w:ascii="Times New Roman" w:hAnsi="Times New Roman" w:cs="Times New Roman"/>
          <w:sz w:val="24"/>
          <w:szCs w:val="24"/>
        </w:rPr>
        <w:br w:type="page"/>
      </w:r>
    </w:p>
    <w:p w14:paraId="5F7575FB" w14:textId="1A3B4B4D" w:rsidR="003D5CA5" w:rsidRPr="003D5CA5" w:rsidRDefault="00405A11" w:rsidP="003D5CA5">
      <w:pPr>
        <w:pStyle w:val="ListParagraph"/>
        <w:numPr>
          <w:ilvl w:val="0"/>
          <w:numId w:val="42"/>
        </w:numPr>
        <w:spacing w:after="0"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05A11">
        <w:rPr>
          <w:rFonts w:ascii="Times New Roman" w:hAnsi="Times New Roman" w:cs="Times New Roman"/>
          <w:b/>
          <w:sz w:val="28"/>
          <w:szCs w:val="28"/>
        </w:rPr>
        <w:lastRenderedPageBreak/>
        <w:t>Exploratory</w:t>
      </w:r>
      <w:r w:rsidR="00064A6B" w:rsidRPr="003D5C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B58">
        <w:rPr>
          <w:rFonts w:ascii="Times New Roman" w:hAnsi="Times New Roman" w:cs="Times New Roman"/>
          <w:b/>
          <w:sz w:val="28"/>
          <w:szCs w:val="28"/>
        </w:rPr>
        <w:t xml:space="preserve">subgroup </w:t>
      </w:r>
      <w:r w:rsidR="00064A6B" w:rsidRPr="003D5CA5">
        <w:rPr>
          <w:rFonts w:ascii="Times New Roman" w:hAnsi="Times New Roman" w:cs="Times New Roman"/>
          <w:b/>
          <w:sz w:val="28"/>
          <w:szCs w:val="28"/>
        </w:rPr>
        <w:t>analyses</w:t>
      </w:r>
    </w:p>
    <w:p w14:paraId="70886B00" w14:textId="33C5937F" w:rsidR="003D5CA5" w:rsidRDefault="00701F38" w:rsidP="003D5CA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Exploratory analyses were performed to investigate the </w:t>
      </w:r>
      <w:r w:rsidR="00332F77">
        <w:rPr>
          <w:rFonts w:ascii="Times New Roman" w:hAnsi="Times New Roman" w:cs="Times New Roman"/>
          <w:sz w:val="24"/>
          <w:szCs w:val="24"/>
        </w:rPr>
        <w:t>effect of demographic and baseline clinical characteristics on OS.</w:t>
      </w:r>
      <w:r w:rsidR="000C4B9E">
        <w:rPr>
          <w:rFonts w:ascii="Times New Roman" w:hAnsi="Times New Roman" w:cs="Times New Roman"/>
          <w:sz w:val="24"/>
          <w:szCs w:val="24"/>
        </w:rPr>
        <w:t xml:space="preserve"> </w:t>
      </w:r>
      <w:r w:rsidR="00F45ABC">
        <w:rPr>
          <w:rFonts w:ascii="Times New Roman" w:hAnsi="Times New Roman" w:cs="Times New Roman"/>
          <w:sz w:val="24"/>
          <w:szCs w:val="24"/>
        </w:rPr>
        <w:t xml:space="preserve">The exploratory analyses by age group and AML subtype were prespecified; other subgroup evaluations were </w:t>
      </w:r>
      <w:r w:rsidR="00F45ABC" w:rsidRPr="0033285E">
        <w:rPr>
          <w:rFonts w:ascii="Times New Roman" w:hAnsi="Times New Roman" w:cs="Times New Roman"/>
          <w:i/>
          <w:sz w:val="24"/>
          <w:szCs w:val="24"/>
        </w:rPr>
        <w:t>post hoc</w:t>
      </w:r>
      <w:r w:rsidR="00F45ABC">
        <w:rPr>
          <w:rFonts w:ascii="Times New Roman" w:hAnsi="Times New Roman" w:cs="Times New Roman"/>
          <w:sz w:val="24"/>
          <w:szCs w:val="24"/>
        </w:rPr>
        <w:t xml:space="preserve"> analyses. </w:t>
      </w:r>
      <w:r w:rsidR="00877B58">
        <w:rPr>
          <w:rFonts w:ascii="Times New Roman" w:hAnsi="Times New Roman" w:cs="Times New Roman"/>
          <w:sz w:val="24"/>
          <w:szCs w:val="24"/>
        </w:rPr>
        <w:t xml:space="preserve">Median </w:t>
      </w:r>
      <w:r w:rsidR="00332F77">
        <w:rPr>
          <w:rFonts w:ascii="Times New Roman" w:hAnsi="Times New Roman" w:cs="Times New Roman"/>
          <w:sz w:val="24"/>
          <w:szCs w:val="24"/>
        </w:rPr>
        <w:t>OS was significantly improved with CPX-351 versus 7+3 irrespective of age</w:t>
      </w:r>
      <w:r w:rsidR="000C4B9E">
        <w:rPr>
          <w:rFonts w:ascii="Times New Roman" w:hAnsi="Times New Roman" w:cs="Times New Roman"/>
          <w:sz w:val="24"/>
          <w:szCs w:val="24"/>
        </w:rPr>
        <w:t xml:space="preserve"> </w:t>
      </w:r>
      <w:r w:rsidR="000C4B9E" w:rsidRPr="00E70CA5">
        <w:rPr>
          <w:rFonts w:ascii="Times New Roman" w:hAnsi="Times New Roman" w:cs="Times New Roman"/>
          <w:sz w:val="24"/>
          <w:szCs w:val="24"/>
        </w:rPr>
        <w:t xml:space="preserve">and in patients with wild-type </w:t>
      </w:r>
      <w:r w:rsidR="000C4B9E" w:rsidRPr="00E70CA5">
        <w:rPr>
          <w:rFonts w:ascii="Times New Roman" w:hAnsi="Times New Roman" w:cs="Times New Roman"/>
          <w:i/>
          <w:sz w:val="24"/>
          <w:szCs w:val="24"/>
        </w:rPr>
        <w:t>FLT3</w:t>
      </w:r>
      <w:r w:rsidR="000C4B9E" w:rsidRPr="00E70CA5">
        <w:rPr>
          <w:rFonts w:ascii="Times New Roman" w:hAnsi="Times New Roman" w:cs="Times New Roman"/>
          <w:sz w:val="24"/>
          <w:szCs w:val="24"/>
        </w:rPr>
        <w:t>, therapy-related AML, AML with antecedent MDS or CMML, and favorable/intermediate cytogenetic risk classification</w:t>
      </w:r>
      <w:r w:rsidR="000C4B9E">
        <w:rPr>
          <w:rFonts w:ascii="Times New Roman" w:hAnsi="Times New Roman" w:cs="Times New Roman"/>
          <w:sz w:val="24"/>
          <w:szCs w:val="24"/>
        </w:rPr>
        <w:t>; t</w:t>
      </w:r>
      <w:r w:rsidR="000C4B9E" w:rsidRPr="00E70CA5">
        <w:rPr>
          <w:rFonts w:ascii="Times New Roman" w:hAnsi="Times New Roman" w:cs="Times New Roman"/>
          <w:sz w:val="24"/>
          <w:szCs w:val="24"/>
        </w:rPr>
        <w:t xml:space="preserve">rends for improved OS were also seen in patients with baseline </w:t>
      </w:r>
      <w:r w:rsidR="000C4B9E" w:rsidRPr="00E70CA5">
        <w:rPr>
          <w:rFonts w:ascii="Times New Roman" w:hAnsi="Times New Roman" w:cs="Times New Roman"/>
          <w:i/>
          <w:sz w:val="24"/>
          <w:szCs w:val="24"/>
        </w:rPr>
        <w:t>FLT3</w:t>
      </w:r>
      <w:r w:rsidR="000C4B9E" w:rsidRPr="00E70CA5">
        <w:rPr>
          <w:rFonts w:ascii="Times New Roman" w:hAnsi="Times New Roman" w:cs="Times New Roman"/>
          <w:sz w:val="24"/>
          <w:szCs w:val="24"/>
        </w:rPr>
        <w:t xml:space="preserve"> mutations, </w:t>
      </w:r>
      <w:r w:rsidR="000C4B9E" w:rsidRPr="00E70CA5">
        <w:rPr>
          <w:rFonts w:ascii="Times New Roman" w:hAnsi="Times New Roman" w:cs="Times New Roman"/>
          <w:i/>
          <w:sz w:val="24"/>
          <w:szCs w:val="24"/>
        </w:rPr>
        <w:t>de novo</w:t>
      </w:r>
      <w:r w:rsidR="000C4B9E" w:rsidRPr="00E70CA5">
        <w:rPr>
          <w:rFonts w:ascii="Times New Roman" w:hAnsi="Times New Roman" w:cs="Times New Roman"/>
          <w:sz w:val="24"/>
          <w:szCs w:val="24"/>
        </w:rPr>
        <w:t xml:space="preserve"> AML with MDS-related cytogenetic abnormalities, and unfavorable cytogenetic risk (</w:t>
      </w:r>
      <w:r w:rsidR="00A8551F">
        <w:rPr>
          <w:rFonts w:ascii="Times New Roman" w:hAnsi="Times New Roman" w:cs="Times New Roman"/>
          <w:b/>
          <w:sz w:val="24"/>
          <w:szCs w:val="24"/>
        </w:rPr>
        <w:t>Fig</w:t>
      </w:r>
      <w:r w:rsidR="000C4B9E" w:rsidRPr="00E70C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B20">
        <w:rPr>
          <w:rFonts w:ascii="Times New Roman" w:hAnsi="Times New Roman" w:cs="Times New Roman"/>
          <w:b/>
          <w:sz w:val="24"/>
          <w:szCs w:val="24"/>
        </w:rPr>
        <w:t>3</w:t>
      </w:r>
      <w:r w:rsidR="000C4B9E" w:rsidRPr="00E70CA5">
        <w:rPr>
          <w:rFonts w:ascii="Times New Roman" w:hAnsi="Times New Roman" w:cs="Times New Roman"/>
          <w:sz w:val="24"/>
          <w:szCs w:val="24"/>
        </w:rPr>
        <w:t>).</w:t>
      </w:r>
      <w:r w:rsidR="000C4B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73D95" w14:textId="77777777" w:rsidR="000C4B9E" w:rsidRDefault="000C4B9E" w:rsidP="003D5CA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150F8950" w14:textId="47D6BD47" w:rsidR="000C4B9E" w:rsidRDefault="00CF5A60" w:rsidP="00EC47F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Although no differences </w:t>
      </w:r>
      <w:r w:rsidR="00804AD7">
        <w:rPr>
          <w:rFonts w:ascii="Times New Roman" w:hAnsi="Times New Roman" w:cs="Times New Roman"/>
          <w:sz w:val="24"/>
          <w:szCs w:val="24"/>
        </w:rPr>
        <w:t xml:space="preserve">in OS </w:t>
      </w:r>
      <w:r>
        <w:rPr>
          <w:rFonts w:ascii="Times New Roman" w:hAnsi="Times New Roman" w:cs="Times New Roman"/>
          <w:sz w:val="24"/>
          <w:szCs w:val="24"/>
        </w:rPr>
        <w:t xml:space="preserve">by male/female sex were seen in prespecified univariate and multivariate analyses </w:t>
      </w:r>
      <w:r w:rsidR="00274180">
        <w:rPr>
          <w:rFonts w:ascii="Times New Roman" w:hAnsi="Times New Roman" w:cs="Times New Roman"/>
          <w:sz w:val="24"/>
          <w:szCs w:val="24"/>
        </w:rPr>
        <w:t>(</w:t>
      </w:r>
      <w:r w:rsidR="0017648C" w:rsidRPr="0017648C">
        <w:rPr>
          <w:rFonts w:ascii="Times New Roman" w:hAnsi="Times New Roman" w:cs="Times New Roman"/>
          <w:b/>
          <w:sz w:val="24"/>
          <w:szCs w:val="24"/>
        </w:rPr>
        <w:t>Appendix</w:t>
      </w:r>
      <w:r w:rsidR="0017648C">
        <w:rPr>
          <w:rFonts w:ascii="Times New Roman" w:hAnsi="Times New Roman" w:cs="Times New Roman"/>
          <w:sz w:val="24"/>
          <w:szCs w:val="24"/>
        </w:rPr>
        <w:t xml:space="preserve"> </w:t>
      </w:r>
      <w:r w:rsidR="00274180" w:rsidRPr="00274180">
        <w:rPr>
          <w:rFonts w:ascii="Times New Roman" w:hAnsi="Times New Roman" w:cs="Times New Roman"/>
          <w:b/>
          <w:sz w:val="24"/>
          <w:szCs w:val="24"/>
        </w:rPr>
        <w:t>Table S1 and S2</w:t>
      </w:r>
      <w:r w:rsidR="0027418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77B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 exploratory</w:t>
      </w:r>
      <w:r w:rsidR="000C4B9E">
        <w:rPr>
          <w:rFonts w:ascii="Times New Roman" w:hAnsi="Times New Roman" w:cs="Times New Roman"/>
          <w:sz w:val="24"/>
          <w:szCs w:val="24"/>
        </w:rPr>
        <w:t xml:space="preserve"> </w:t>
      </w:r>
      <w:r w:rsidR="000C4B9E" w:rsidRPr="0033285E">
        <w:rPr>
          <w:rFonts w:ascii="Times New Roman" w:hAnsi="Times New Roman" w:cs="Times New Roman"/>
          <w:i/>
          <w:sz w:val="24"/>
          <w:szCs w:val="24"/>
        </w:rPr>
        <w:t>post hoc</w:t>
      </w:r>
      <w:r w:rsidR="000C4B9E">
        <w:rPr>
          <w:rFonts w:ascii="Times New Roman" w:hAnsi="Times New Roman" w:cs="Times New Roman"/>
          <w:sz w:val="24"/>
          <w:szCs w:val="24"/>
        </w:rPr>
        <w:t xml:space="preserve"> analysis </w:t>
      </w:r>
      <w:r w:rsidR="00274180">
        <w:rPr>
          <w:rFonts w:ascii="Times New Roman" w:hAnsi="Times New Roman" w:cs="Times New Roman"/>
          <w:sz w:val="24"/>
          <w:szCs w:val="24"/>
        </w:rPr>
        <w:t>suggested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AD7">
        <w:rPr>
          <w:rFonts w:ascii="Times New Roman" w:hAnsi="Times New Roman" w:cs="Times New Roman"/>
          <w:sz w:val="24"/>
          <w:szCs w:val="24"/>
        </w:rPr>
        <w:t xml:space="preserve">a difference in OS with CPX-351 between </w:t>
      </w:r>
      <w:r w:rsidR="00877B58">
        <w:rPr>
          <w:rFonts w:ascii="Times New Roman" w:hAnsi="Times New Roman" w:cs="Times New Roman"/>
          <w:sz w:val="24"/>
          <w:szCs w:val="24"/>
        </w:rPr>
        <w:t>m</w:t>
      </w:r>
      <w:r w:rsidR="000C4B9E">
        <w:rPr>
          <w:rFonts w:ascii="Times New Roman" w:hAnsi="Times New Roman" w:cs="Times New Roman"/>
          <w:sz w:val="24"/>
          <w:szCs w:val="24"/>
        </w:rPr>
        <w:t xml:space="preserve">ales </w:t>
      </w:r>
      <w:r w:rsidR="00B94EF9">
        <w:rPr>
          <w:rFonts w:ascii="Times New Roman" w:hAnsi="Times New Roman" w:cs="Times New Roman"/>
          <w:sz w:val="24"/>
          <w:szCs w:val="24"/>
        </w:rPr>
        <w:t>(</w:t>
      </w:r>
      <w:r w:rsidR="00804AD7">
        <w:rPr>
          <w:rFonts w:ascii="Times New Roman" w:hAnsi="Times New Roman" w:cs="Times New Roman"/>
          <w:sz w:val="24"/>
          <w:szCs w:val="24"/>
        </w:rPr>
        <w:t xml:space="preserve">median OS: </w:t>
      </w:r>
      <w:r w:rsidR="00B94EF9">
        <w:rPr>
          <w:rFonts w:ascii="Times New Roman" w:hAnsi="Times New Roman" w:cs="Times New Roman"/>
          <w:sz w:val="24"/>
          <w:szCs w:val="24"/>
        </w:rPr>
        <w:t xml:space="preserve">10.09 months with CPX-351 </w:t>
      </w:r>
      <w:r w:rsidR="00B94EF9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="0017648C">
        <w:rPr>
          <w:rFonts w:ascii="Times New Roman" w:hAnsi="Times New Roman" w:cs="Times New Roman"/>
          <w:sz w:val="24"/>
          <w:szCs w:val="24"/>
        </w:rPr>
        <w:t xml:space="preserve"> 5.55 months with 7+3; HR, 0.50 [95% CI, 0.35 to </w:t>
      </w:r>
      <w:r w:rsidR="00B94EF9">
        <w:rPr>
          <w:rFonts w:ascii="Times New Roman" w:hAnsi="Times New Roman" w:cs="Times New Roman"/>
          <w:sz w:val="24"/>
          <w:szCs w:val="24"/>
        </w:rPr>
        <w:t>0.71])</w:t>
      </w:r>
      <w:r w:rsidR="00804AD7">
        <w:rPr>
          <w:rFonts w:ascii="Times New Roman" w:hAnsi="Times New Roman" w:cs="Times New Roman"/>
          <w:sz w:val="24"/>
          <w:szCs w:val="24"/>
        </w:rPr>
        <w:t xml:space="preserve"> and </w:t>
      </w:r>
      <w:r w:rsidR="000C4B9E">
        <w:rPr>
          <w:rFonts w:ascii="Times New Roman" w:hAnsi="Times New Roman" w:cs="Times New Roman"/>
          <w:sz w:val="24"/>
          <w:szCs w:val="24"/>
        </w:rPr>
        <w:t xml:space="preserve">females </w:t>
      </w:r>
      <w:r w:rsidR="00B94EF9">
        <w:rPr>
          <w:rFonts w:ascii="Times New Roman" w:hAnsi="Times New Roman" w:cs="Times New Roman"/>
          <w:sz w:val="24"/>
          <w:szCs w:val="24"/>
        </w:rPr>
        <w:t>(</w:t>
      </w:r>
      <w:r w:rsidR="00804AD7">
        <w:rPr>
          <w:rFonts w:ascii="Times New Roman" w:hAnsi="Times New Roman" w:cs="Times New Roman"/>
          <w:sz w:val="24"/>
          <w:szCs w:val="24"/>
        </w:rPr>
        <w:t xml:space="preserve">median OS: </w:t>
      </w:r>
      <w:r w:rsidR="00B94EF9">
        <w:rPr>
          <w:rFonts w:ascii="Times New Roman" w:hAnsi="Times New Roman" w:cs="Times New Roman"/>
          <w:sz w:val="24"/>
          <w:szCs w:val="24"/>
        </w:rPr>
        <w:t xml:space="preserve">7.59 months with CPX-351 </w:t>
      </w:r>
      <w:r w:rsidR="00B94EF9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="0017648C">
        <w:rPr>
          <w:rFonts w:ascii="Times New Roman" w:hAnsi="Times New Roman" w:cs="Times New Roman"/>
          <w:sz w:val="24"/>
          <w:szCs w:val="24"/>
        </w:rPr>
        <w:t xml:space="preserve"> 7.21 months with 7+3; HR, 0.96 [95% CI, 0.61 to </w:t>
      </w:r>
      <w:r w:rsidR="00B94EF9">
        <w:rPr>
          <w:rFonts w:ascii="Times New Roman" w:hAnsi="Times New Roman" w:cs="Times New Roman"/>
          <w:sz w:val="24"/>
          <w:szCs w:val="24"/>
        </w:rPr>
        <w:t>1.53])</w:t>
      </w:r>
      <w:r w:rsidR="000C4B9E">
        <w:rPr>
          <w:rFonts w:ascii="Times New Roman" w:hAnsi="Times New Roman" w:cs="Times New Roman"/>
          <w:sz w:val="24"/>
          <w:szCs w:val="24"/>
        </w:rPr>
        <w:t>.</w:t>
      </w:r>
      <w:r w:rsidR="00274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difference is likely due to a multiplicity problem that arises out of multiple comparisons between the treatment groups without controlling for type I error. Additionally, because only 38.5% of the study population were female, this </w:t>
      </w:r>
      <w:r w:rsidRPr="0033285E">
        <w:rPr>
          <w:rFonts w:ascii="Times New Roman" w:hAnsi="Times New Roman" w:cs="Times New Roman"/>
          <w:i/>
          <w:sz w:val="24"/>
          <w:szCs w:val="24"/>
        </w:rPr>
        <w:t>post hoc</w:t>
      </w:r>
      <w:r>
        <w:rPr>
          <w:rFonts w:ascii="Times New Roman" w:hAnsi="Times New Roman" w:cs="Times New Roman"/>
          <w:sz w:val="24"/>
          <w:szCs w:val="24"/>
        </w:rPr>
        <w:t xml:space="preserve"> analysis was likely underpowered.</w:t>
      </w:r>
      <w:r w:rsidR="00274180">
        <w:rPr>
          <w:rFonts w:ascii="Times New Roman" w:hAnsi="Times New Roman" w:cs="Times New Roman"/>
          <w:sz w:val="24"/>
          <w:szCs w:val="24"/>
        </w:rPr>
        <w:t xml:space="preserve"> </w:t>
      </w:r>
      <w:r w:rsidR="00A66CCB">
        <w:rPr>
          <w:rFonts w:ascii="Times New Roman" w:hAnsi="Times New Roman" w:cs="Times New Roman"/>
          <w:sz w:val="24"/>
          <w:szCs w:val="24"/>
        </w:rPr>
        <w:t xml:space="preserve">There appear to be some differences in patient demographic and baseline clinical characteristics between male and female patients in this study </w:t>
      </w:r>
      <w:r w:rsidR="00274180">
        <w:rPr>
          <w:rFonts w:ascii="Times New Roman" w:hAnsi="Times New Roman" w:cs="Times New Roman"/>
          <w:sz w:val="24"/>
          <w:szCs w:val="24"/>
        </w:rPr>
        <w:t>(</w:t>
      </w:r>
      <w:r w:rsidR="00274180" w:rsidRPr="003E6633">
        <w:rPr>
          <w:rFonts w:ascii="Times New Roman" w:hAnsi="Times New Roman" w:cs="Times New Roman"/>
          <w:b/>
          <w:sz w:val="24"/>
          <w:szCs w:val="24"/>
        </w:rPr>
        <w:t>Table S</w:t>
      </w:r>
      <w:r w:rsidR="000024D4">
        <w:rPr>
          <w:rFonts w:ascii="Times New Roman" w:hAnsi="Times New Roman" w:cs="Times New Roman"/>
          <w:b/>
          <w:sz w:val="24"/>
          <w:szCs w:val="24"/>
        </w:rPr>
        <w:t>5</w:t>
      </w:r>
      <w:r w:rsidR="00274180">
        <w:rPr>
          <w:rFonts w:ascii="Times New Roman" w:hAnsi="Times New Roman" w:cs="Times New Roman"/>
          <w:sz w:val="24"/>
          <w:szCs w:val="24"/>
        </w:rPr>
        <w:t>)</w:t>
      </w:r>
      <w:r w:rsidR="00A66CCB">
        <w:rPr>
          <w:rFonts w:ascii="Times New Roman" w:hAnsi="Times New Roman" w:cs="Times New Roman"/>
          <w:sz w:val="24"/>
          <w:szCs w:val="24"/>
        </w:rPr>
        <w:t xml:space="preserve">, and thus it is not meaningful to compare these </w:t>
      </w:r>
      <w:r w:rsidR="003005E4">
        <w:rPr>
          <w:rFonts w:ascii="Times New Roman" w:hAnsi="Times New Roman" w:cs="Times New Roman"/>
          <w:sz w:val="24"/>
          <w:szCs w:val="24"/>
        </w:rPr>
        <w:t>subgroups</w:t>
      </w:r>
      <w:r w:rsidR="00A66CCB">
        <w:rPr>
          <w:rFonts w:ascii="Times New Roman" w:hAnsi="Times New Roman" w:cs="Times New Roman"/>
          <w:sz w:val="24"/>
          <w:szCs w:val="24"/>
        </w:rPr>
        <w:t xml:space="preserve"> in terms of efficacy</w:t>
      </w:r>
      <w:r w:rsidR="00274180">
        <w:rPr>
          <w:rFonts w:ascii="Times New Roman" w:hAnsi="Times New Roman" w:cs="Times New Roman"/>
          <w:sz w:val="24"/>
          <w:szCs w:val="24"/>
        </w:rPr>
        <w:t>.</w:t>
      </w:r>
      <w:r w:rsidR="00A66CCB">
        <w:rPr>
          <w:rFonts w:ascii="Times New Roman" w:hAnsi="Times New Roman" w:cs="Times New Roman"/>
          <w:sz w:val="24"/>
          <w:szCs w:val="24"/>
        </w:rPr>
        <w:t xml:space="preserve"> In a separate </w:t>
      </w:r>
      <w:r w:rsidR="004A10E5">
        <w:rPr>
          <w:rFonts w:ascii="Times New Roman" w:hAnsi="Times New Roman" w:cs="Times New Roman"/>
          <w:sz w:val="24"/>
          <w:szCs w:val="24"/>
        </w:rPr>
        <w:t xml:space="preserve">CPX-351 </w:t>
      </w:r>
      <w:r w:rsidR="00A66CCB">
        <w:rPr>
          <w:rFonts w:ascii="Times New Roman" w:hAnsi="Times New Roman" w:cs="Times New Roman"/>
          <w:sz w:val="24"/>
          <w:szCs w:val="24"/>
        </w:rPr>
        <w:t>population pharmacokinetic analysis</w:t>
      </w:r>
      <w:r w:rsidR="00AA5CF0">
        <w:rPr>
          <w:rFonts w:ascii="Times New Roman" w:hAnsi="Times New Roman" w:cs="Times New Roman"/>
          <w:sz w:val="24"/>
          <w:szCs w:val="24"/>
        </w:rPr>
        <w:t xml:space="preserve"> of 195 patients with acute </w:t>
      </w:r>
      <w:r w:rsidR="003005E4">
        <w:rPr>
          <w:rFonts w:ascii="Times New Roman" w:hAnsi="Times New Roman" w:cs="Times New Roman"/>
          <w:sz w:val="24"/>
          <w:szCs w:val="24"/>
        </w:rPr>
        <w:t>leukemia</w:t>
      </w:r>
      <w:r w:rsidR="00AA5CF0">
        <w:rPr>
          <w:rFonts w:ascii="Times New Roman" w:hAnsi="Times New Roman" w:cs="Times New Roman"/>
          <w:sz w:val="24"/>
          <w:szCs w:val="24"/>
        </w:rPr>
        <w:t xml:space="preserve"> or myelodysplastic syndrome</w:t>
      </w:r>
      <w:r w:rsidR="00A66CCB">
        <w:rPr>
          <w:rFonts w:ascii="Times New Roman" w:hAnsi="Times New Roman" w:cs="Times New Roman"/>
          <w:sz w:val="24"/>
          <w:szCs w:val="24"/>
        </w:rPr>
        <w:t xml:space="preserve">, prespecified covariate analyses indicated that sex does not appear to account for significant sources of variability in the pharmacokinetic </w:t>
      </w:r>
      <w:r w:rsidR="00A66CCB">
        <w:rPr>
          <w:rFonts w:ascii="Times New Roman" w:hAnsi="Times New Roman" w:cs="Times New Roman"/>
          <w:sz w:val="24"/>
          <w:szCs w:val="24"/>
        </w:rPr>
        <w:lastRenderedPageBreak/>
        <w:t xml:space="preserve">parameters for total cytarabine or daunorubicin (data on file, </w:t>
      </w:r>
      <w:r w:rsidR="00AA5CF0">
        <w:rPr>
          <w:rFonts w:ascii="Times New Roman" w:hAnsi="Times New Roman" w:cs="Times New Roman"/>
          <w:sz w:val="24"/>
          <w:szCs w:val="24"/>
        </w:rPr>
        <w:t xml:space="preserve">Jazz Pharmaceuticals, Inc., </w:t>
      </w:r>
      <w:r w:rsidR="00A66CCB">
        <w:rPr>
          <w:rFonts w:ascii="Times New Roman" w:hAnsi="Times New Roman" w:cs="Times New Roman"/>
          <w:sz w:val="24"/>
          <w:szCs w:val="24"/>
        </w:rPr>
        <w:t>VYX-2017-0044).</w:t>
      </w:r>
      <w:r w:rsidR="004A10E5">
        <w:rPr>
          <w:rFonts w:ascii="Times New Roman" w:hAnsi="Times New Roman" w:cs="Times New Roman"/>
          <w:sz w:val="24"/>
          <w:szCs w:val="24"/>
        </w:rPr>
        <w:t xml:space="preserve"> </w:t>
      </w:r>
      <w:r w:rsidR="00EC47F7">
        <w:rPr>
          <w:rFonts w:ascii="Times New Roman" w:hAnsi="Times New Roman" w:cs="Times New Roman"/>
          <w:sz w:val="24"/>
          <w:szCs w:val="24"/>
        </w:rPr>
        <w:t xml:space="preserve">To further </w:t>
      </w:r>
      <w:r w:rsidR="00877B58">
        <w:rPr>
          <w:rFonts w:ascii="Times New Roman" w:hAnsi="Times New Roman" w:cs="Times New Roman"/>
          <w:sz w:val="24"/>
          <w:szCs w:val="24"/>
        </w:rPr>
        <w:t>investigate</w:t>
      </w:r>
      <w:r w:rsidR="00EC47F7">
        <w:rPr>
          <w:rFonts w:ascii="Times New Roman" w:hAnsi="Times New Roman" w:cs="Times New Roman"/>
          <w:sz w:val="24"/>
          <w:szCs w:val="24"/>
        </w:rPr>
        <w:t xml:space="preserve"> the effect of sex on OS benefit with CPX-351, data from</w:t>
      </w:r>
      <w:r w:rsidR="00147B48">
        <w:rPr>
          <w:rFonts w:ascii="Times New Roman" w:hAnsi="Times New Roman" w:cs="Times New Roman"/>
          <w:sz w:val="24"/>
          <w:szCs w:val="24"/>
        </w:rPr>
        <w:t xml:space="preserve"> </w:t>
      </w:r>
      <w:r w:rsidR="00EC47F7">
        <w:rPr>
          <w:rFonts w:ascii="Times New Roman" w:hAnsi="Times New Roman" w:cs="Times New Roman"/>
          <w:sz w:val="24"/>
          <w:szCs w:val="24"/>
        </w:rPr>
        <w:t xml:space="preserve">the </w:t>
      </w:r>
      <w:r w:rsidR="00147B48">
        <w:rPr>
          <w:rFonts w:ascii="Times New Roman" w:hAnsi="Times New Roman" w:cs="Times New Roman"/>
          <w:sz w:val="24"/>
          <w:szCs w:val="24"/>
        </w:rPr>
        <w:t xml:space="preserve">prior </w:t>
      </w:r>
      <w:r w:rsidR="00DC0FB4">
        <w:rPr>
          <w:rFonts w:ascii="Times New Roman" w:hAnsi="Times New Roman" w:cs="Times New Roman"/>
          <w:sz w:val="24"/>
          <w:szCs w:val="24"/>
        </w:rPr>
        <w:t xml:space="preserve">phase II </w:t>
      </w:r>
      <w:r w:rsidR="00EC47F7">
        <w:rPr>
          <w:rFonts w:ascii="Times New Roman" w:hAnsi="Times New Roman" w:cs="Times New Roman"/>
          <w:sz w:val="24"/>
          <w:szCs w:val="24"/>
        </w:rPr>
        <w:t>studies of CPX-351 in adults with newly diagnosed AML</w:t>
      </w:r>
      <w:r w:rsidR="00877B5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47F7">
        <w:rPr>
          <w:rFonts w:ascii="Times New Roman" w:hAnsi="Times New Roman" w:cs="Times New Roman"/>
          <w:sz w:val="24"/>
          <w:szCs w:val="24"/>
        </w:rPr>
        <w:t xml:space="preserve"> or relapsed/refractory AML</w:t>
      </w:r>
      <w:r w:rsidR="00877B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47F7">
        <w:rPr>
          <w:rFonts w:ascii="Times New Roman" w:hAnsi="Times New Roman" w:cs="Times New Roman"/>
          <w:sz w:val="24"/>
          <w:szCs w:val="24"/>
        </w:rPr>
        <w:t xml:space="preserve"> were also analyzed. </w:t>
      </w:r>
      <w:r w:rsidR="008C3998">
        <w:rPr>
          <w:rFonts w:ascii="Times New Roman" w:hAnsi="Times New Roman" w:cs="Times New Roman"/>
          <w:sz w:val="24"/>
          <w:szCs w:val="24"/>
        </w:rPr>
        <w:t>Although neither study was designed to sho</w:t>
      </w:r>
      <w:r w:rsidR="001936A7">
        <w:rPr>
          <w:rFonts w:ascii="Times New Roman" w:hAnsi="Times New Roman" w:cs="Times New Roman"/>
          <w:sz w:val="24"/>
          <w:szCs w:val="24"/>
        </w:rPr>
        <w:t>w a difference</w:t>
      </w:r>
      <w:r w:rsidR="008C3998">
        <w:rPr>
          <w:rFonts w:ascii="Times New Roman" w:hAnsi="Times New Roman" w:cs="Times New Roman"/>
          <w:sz w:val="24"/>
          <w:szCs w:val="24"/>
        </w:rPr>
        <w:t xml:space="preserve"> in OS by patient sex, median survival was longer in the CPX-351 arms for males and females in both studies (data on file, </w:t>
      </w:r>
      <w:r w:rsidR="00AA5CF0">
        <w:rPr>
          <w:rFonts w:ascii="Times New Roman" w:hAnsi="Times New Roman" w:cs="Times New Roman"/>
          <w:sz w:val="24"/>
          <w:szCs w:val="24"/>
        </w:rPr>
        <w:t xml:space="preserve">Jazz Pharmaceuticals, Inc., </w:t>
      </w:r>
      <w:r w:rsidR="008C3998">
        <w:rPr>
          <w:rFonts w:ascii="Times New Roman" w:hAnsi="Times New Roman" w:cs="Times New Roman"/>
          <w:sz w:val="24"/>
          <w:szCs w:val="24"/>
        </w:rPr>
        <w:t xml:space="preserve">VYX-2017-045). </w:t>
      </w:r>
      <w:r w:rsidR="00FB0B0E">
        <w:rPr>
          <w:rFonts w:ascii="Times New Roman" w:hAnsi="Times New Roman" w:cs="Times New Roman"/>
          <w:sz w:val="24"/>
          <w:szCs w:val="24"/>
        </w:rPr>
        <w:t>Thus, CPX-351 is expected to provide a survival benefit for both men and women.</w:t>
      </w:r>
    </w:p>
    <w:p w14:paraId="50B6CD16" w14:textId="77777777" w:rsidR="00505CB9" w:rsidRDefault="00505CB9" w:rsidP="00EC47F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101373AB" w14:textId="550AD21B" w:rsidR="000C4B9E" w:rsidRDefault="000C1191" w:rsidP="00FB0B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note</w:t>
      </w:r>
      <w:r w:rsidR="00505CB9">
        <w:rPr>
          <w:rFonts w:ascii="Times New Roman" w:hAnsi="Times New Roman" w:cs="Times New Roman"/>
          <w:sz w:val="24"/>
          <w:szCs w:val="24"/>
        </w:rPr>
        <w:t xml:space="preserve">, a similar phenomenon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1A2F6E">
        <w:rPr>
          <w:rFonts w:ascii="Times New Roman" w:hAnsi="Times New Roman" w:cs="Times New Roman"/>
          <w:sz w:val="24"/>
          <w:szCs w:val="24"/>
        </w:rPr>
        <w:t xml:space="preserve">greater OS benefit seen in male versus </w:t>
      </w:r>
      <w:r>
        <w:rPr>
          <w:rFonts w:ascii="Times New Roman" w:hAnsi="Times New Roman" w:cs="Times New Roman"/>
          <w:sz w:val="24"/>
          <w:szCs w:val="24"/>
        </w:rPr>
        <w:t xml:space="preserve">female </w:t>
      </w:r>
      <w:r w:rsidR="008C3998">
        <w:rPr>
          <w:rFonts w:ascii="Times New Roman" w:hAnsi="Times New Roman" w:cs="Times New Roman"/>
          <w:sz w:val="24"/>
          <w:szCs w:val="24"/>
        </w:rPr>
        <w:t>patients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CB9">
        <w:rPr>
          <w:rFonts w:ascii="Times New Roman" w:hAnsi="Times New Roman" w:cs="Times New Roman"/>
          <w:sz w:val="24"/>
          <w:szCs w:val="24"/>
        </w:rPr>
        <w:t xml:space="preserve">was reported for </w:t>
      </w:r>
      <w:r>
        <w:rPr>
          <w:rFonts w:ascii="Times New Roman" w:hAnsi="Times New Roman" w:cs="Times New Roman"/>
          <w:sz w:val="24"/>
          <w:szCs w:val="24"/>
        </w:rPr>
        <w:t xml:space="preserve">a phase III study of </w:t>
      </w:r>
      <w:r w:rsidR="00505CB9">
        <w:rPr>
          <w:rFonts w:ascii="Times New Roman" w:hAnsi="Times New Roman" w:cs="Times New Roman"/>
          <w:sz w:val="24"/>
          <w:szCs w:val="24"/>
        </w:rPr>
        <w:t xml:space="preserve">midostaurin </w:t>
      </w:r>
      <w:r w:rsidR="001D1A82">
        <w:rPr>
          <w:rFonts w:ascii="Times New Roman" w:hAnsi="Times New Roman" w:cs="Times New Roman"/>
          <w:sz w:val="24"/>
          <w:szCs w:val="24"/>
        </w:rPr>
        <w:t xml:space="preserve">in combination with cytarabine and daunorubicin </w:t>
      </w:r>
      <w:r w:rsidR="00505CB9">
        <w:rPr>
          <w:rFonts w:ascii="Times New Roman" w:hAnsi="Times New Roman" w:cs="Times New Roman"/>
          <w:sz w:val="24"/>
          <w:szCs w:val="24"/>
        </w:rPr>
        <w:t xml:space="preserve">in adults </w:t>
      </w:r>
      <w:r w:rsidR="00FB0B0E">
        <w:rPr>
          <w:rFonts w:ascii="Times New Roman" w:hAnsi="Times New Roman" w:cs="Times New Roman"/>
          <w:sz w:val="24"/>
          <w:szCs w:val="24"/>
        </w:rPr>
        <w:t>aged 18-59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CB9">
        <w:rPr>
          <w:rFonts w:ascii="Times New Roman" w:hAnsi="Times New Roman" w:cs="Times New Roman"/>
          <w:sz w:val="24"/>
          <w:szCs w:val="24"/>
        </w:rPr>
        <w:t xml:space="preserve">with newly diagnosed AML with a </w:t>
      </w:r>
      <w:r w:rsidR="00505CB9" w:rsidRPr="00EC47F7">
        <w:rPr>
          <w:rFonts w:ascii="Times New Roman" w:hAnsi="Times New Roman" w:cs="Times New Roman"/>
          <w:i/>
          <w:sz w:val="24"/>
          <w:szCs w:val="24"/>
        </w:rPr>
        <w:t>FLT3</w:t>
      </w:r>
      <w:r w:rsidR="00505CB9">
        <w:rPr>
          <w:rFonts w:ascii="Times New Roman" w:hAnsi="Times New Roman" w:cs="Times New Roman"/>
          <w:sz w:val="24"/>
          <w:szCs w:val="24"/>
        </w:rPr>
        <w:t xml:space="preserve"> mutation.</w:t>
      </w:r>
      <w:r w:rsidR="001A2F6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C1191">
        <w:rPr>
          <w:rFonts w:ascii="Times New Roman" w:hAnsi="Times New Roman" w:cs="Times New Roman"/>
          <w:sz w:val="24"/>
          <w:szCs w:val="24"/>
        </w:rPr>
        <w:t xml:space="preserve"> </w:t>
      </w:r>
      <w:r w:rsidR="001A2F6E">
        <w:rPr>
          <w:rFonts w:ascii="Times New Roman" w:hAnsi="Times New Roman" w:cs="Times New Roman"/>
          <w:sz w:val="24"/>
          <w:szCs w:val="24"/>
        </w:rPr>
        <w:t>Similar to our study, the authors of the midostaurin publication could find no obvious explanation for the difference in OS benefit between sexes</w:t>
      </w:r>
      <w:r w:rsidR="00FB0B0E">
        <w:rPr>
          <w:rFonts w:ascii="Times New Roman" w:hAnsi="Times New Roman" w:cs="Times New Roman"/>
          <w:sz w:val="24"/>
          <w:szCs w:val="24"/>
        </w:rPr>
        <w:t xml:space="preserve"> in their study</w:t>
      </w:r>
      <w:r w:rsidR="001A2F6E">
        <w:rPr>
          <w:rFonts w:ascii="Times New Roman" w:hAnsi="Times New Roman" w:cs="Times New Roman"/>
          <w:sz w:val="24"/>
          <w:szCs w:val="24"/>
        </w:rPr>
        <w:t xml:space="preserve">, and they noted that prior studies of midostaurin had not suggested a </w:t>
      </w:r>
      <w:r w:rsidR="004733CF">
        <w:rPr>
          <w:rFonts w:ascii="Times New Roman" w:hAnsi="Times New Roman" w:cs="Times New Roman"/>
          <w:sz w:val="24"/>
          <w:szCs w:val="24"/>
        </w:rPr>
        <w:t xml:space="preserve">pharmacokinetic </w:t>
      </w:r>
      <w:r w:rsidR="001A2F6E">
        <w:rPr>
          <w:rFonts w:ascii="Times New Roman" w:hAnsi="Times New Roman" w:cs="Times New Roman"/>
          <w:sz w:val="24"/>
          <w:szCs w:val="24"/>
        </w:rPr>
        <w:t>difference</w:t>
      </w:r>
      <w:r w:rsidR="00FB0B0E">
        <w:rPr>
          <w:rFonts w:ascii="Times New Roman" w:hAnsi="Times New Roman" w:cs="Times New Roman"/>
          <w:sz w:val="24"/>
          <w:szCs w:val="24"/>
        </w:rPr>
        <w:t xml:space="preserve"> between men and women</w:t>
      </w:r>
      <w:r w:rsidR="001A2F6E">
        <w:rPr>
          <w:rFonts w:ascii="Times New Roman" w:hAnsi="Times New Roman" w:cs="Times New Roman"/>
          <w:sz w:val="24"/>
          <w:szCs w:val="24"/>
        </w:rPr>
        <w:t>.</w:t>
      </w:r>
      <w:r w:rsidR="00C203FD" w:rsidRPr="00C203F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48401D6D" w14:textId="77777777" w:rsidR="00505CB9" w:rsidRDefault="00505CB9" w:rsidP="00FB0B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71F860F5" w14:textId="77777777" w:rsidR="000C4B9E" w:rsidRPr="000C4B9E" w:rsidRDefault="000C4B9E" w:rsidP="00AF16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4B9E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2EA4FD34" w14:textId="4C999864" w:rsidR="000C1191" w:rsidRDefault="00877B58" w:rsidP="00AF1690">
      <w:pPr>
        <w:pStyle w:val="EndNoteBibliography"/>
        <w:numPr>
          <w:ilvl w:val="0"/>
          <w:numId w:val="43"/>
        </w:numPr>
        <w:spacing w:after="0" w:line="360" w:lineRule="auto"/>
        <w:ind w:left="360"/>
      </w:pPr>
      <w:r w:rsidRPr="00E70CA5">
        <w:t>Lancet</w:t>
      </w:r>
      <w:r w:rsidR="001A62F0">
        <w:t xml:space="preserve"> JE, Cortes JE, Hogge DE, et al:</w:t>
      </w:r>
      <w:r w:rsidRPr="00E70CA5">
        <w:t xml:space="preserve"> Phase 2 trial of CPX-351, a fixed 5:1 molar ratio of cytarabine/daunorubicin, vs cytarabine/daunorubicin in older adults</w:t>
      </w:r>
      <w:r w:rsidR="001A62F0">
        <w:t xml:space="preserve"> with untreated AML. Blood </w:t>
      </w:r>
      <w:r w:rsidRPr="00E70CA5">
        <w:t>123:3239-</w:t>
      </w:r>
      <w:r w:rsidR="001A62F0">
        <w:t>32</w:t>
      </w:r>
      <w:r w:rsidRPr="00E70CA5">
        <w:t>46</w:t>
      </w:r>
      <w:r w:rsidR="001A62F0">
        <w:t>, 2014</w:t>
      </w:r>
    </w:p>
    <w:p w14:paraId="0EA80D9E" w14:textId="3B7812AA" w:rsidR="00877B58" w:rsidRDefault="00877B58" w:rsidP="00AF1690">
      <w:pPr>
        <w:pStyle w:val="EndNoteBibliography"/>
        <w:numPr>
          <w:ilvl w:val="0"/>
          <w:numId w:val="43"/>
        </w:numPr>
        <w:spacing w:after="0" w:line="360" w:lineRule="auto"/>
        <w:ind w:left="360"/>
      </w:pPr>
      <w:r>
        <w:t>Cortes JE, Goldberg SL, Feldman EJ, et al</w:t>
      </w:r>
      <w:r w:rsidR="001A62F0">
        <w:t>:</w:t>
      </w:r>
      <w:r>
        <w:t xml:space="preserve"> Phase II, multicenter, randomized trial of CPX-351 (cytarabine:daunorubicin) liposome injection versus intensive salvage therapy in adults with</w:t>
      </w:r>
      <w:r w:rsidR="001A62F0">
        <w:t xml:space="preserve"> first relapse AML. Cancer </w:t>
      </w:r>
      <w:r>
        <w:t>121:234-</w:t>
      </w:r>
      <w:r w:rsidR="001A62F0">
        <w:t>2</w:t>
      </w:r>
      <w:r>
        <w:t>42</w:t>
      </w:r>
      <w:r w:rsidR="001A62F0">
        <w:t>, 2015</w:t>
      </w:r>
    </w:p>
    <w:p w14:paraId="732E9B61" w14:textId="0870D189" w:rsidR="00064A6B" w:rsidRPr="00FB0B0E" w:rsidRDefault="000C4B9E" w:rsidP="00AF1690">
      <w:pPr>
        <w:pStyle w:val="EndNoteBibliography"/>
        <w:numPr>
          <w:ilvl w:val="0"/>
          <w:numId w:val="43"/>
        </w:numPr>
        <w:spacing w:after="0" w:line="360" w:lineRule="auto"/>
        <w:ind w:left="360"/>
        <w:rPr>
          <w:szCs w:val="24"/>
        </w:rPr>
      </w:pPr>
      <w:r w:rsidRPr="00E70CA5">
        <w:t>Stone RM, Mandrekar SJ, Sanford</w:t>
      </w:r>
      <w:r w:rsidR="001A62F0">
        <w:t xml:space="preserve"> BL, et al:</w:t>
      </w:r>
      <w:r w:rsidRPr="00E70CA5">
        <w:t xml:space="preserve"> Midostaurin plus chemotherapy for acute myeloid leukemia with a FLT3 m</w:t>
      </w:r>
      <w:r w:rsidR="001A62F0">
        <w:t xml:space="preserve">utation. N Engl J Med </w:t>
      </w:r>
      <w:r w:rsidR="00FB0B0E">
        <w:t>377:454-</w:t>
      </w:r>
      <w:r w:rsidR="001A62F0">
        <w:t>4</w:t>
      </w:r>
      <w:r w:rsidR="00FB0B0E">
        <w:t>64</w:t>
      </w:r>
      <w:r w:rsidR="001A62F0">
        <w:t>, 2017</w:t>
      </w:r>
      <w:r w:rsidR="00064A6B" w:rsidRPr="00FB0B0E">
        <w:rPr>
          <w:szCs w:val="24"/>
        </w:rPr>
        <w:br w:type="page"/>
      </w:r>
    </w:p>
    <w:p w14:paraId="4E224FD8" w14:textId="6DF209E9" w:rsidR="003D5CA5" w:rsidRPr="003D5CA5" w:rsidRDefault="003D5CA5" w:rsidP="00436264">
      <w:pPr>
        <w:pStyle w:val="ListParagraph"/>
        <w:numPr>
          <w:ilvl w:val="0"/>
          <w:numId w:val="42"/>
        </w:numPr>
        <w:spacing w:after="0"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3D5CA5">
        <w:rPr>
          <w:rFonts w:ascii="Times New Roman" w:hAnsi="Times New Roman" w:cs="Times New Roman"/>
          <w:b/>
          <w:sz w:val="28"/>
          <w:szCs w:val="28"/>
        </w:rPr>
        <w:lastRenderedPageBreak/>
        <w:t>Supplemental figures</w:t>
      </w:r>
    </w:p>
    <w:p w14:paraId="0D11ADE3" w14:textId="79E77A2A" w:rsidR="00E22DCB" w:rsidRDefault="00555A12" w:rsidP="00EC116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="00F16AAB" w:rsidRPr="00E70CA5">
        <w:rPr>
          <w:rFonts w:ascii="Times New Roman" w:hAnsi="Times New Roman" w:cs="Times New Roman"/>
          <w:b/>
          <w:sz w:val="24"/>
          <w:szCs w:val="24"/>
        </w:rPr>
        <w:t xml:space="preserve"> S1. </w:t>
      </w:r>
      <w:r w:rsidR="00E22DCB">
        <w:rPr>
          <w:rFonts w:ascii="Times New Roman" w:hAnsi="Times New Roman" w:cs="Times New Roman"/>
          <w:sz w:val="24"/>
          <w:szCs w:val="24"/>
        </w:rPr>
        <w:t xml:space="preserve">Kaplan-Meier curve of cumulative incidence of relapse for patients achieving CR or </w:t>
      </w:r>
      <w:proofErr w:type="spellStart"/>
      <w:r w:rsidR="00E22DCB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="00E22DCB">
        <w:rPr>
          <w:rFonts w:ascii="Times New Roman" w:hAnsi="Times New Roman" w:cs="Times New Roman"/>
          <w:sz w:val="24"/>
          <w:szCs w:val="24"/>
        </w:rPr>
        <w:t>.</w:t>
      </w:r>
    </w:p>
    <w:p w14:paraId="2977C1D9" w14:textId="43127029" w:rsidR="00F16AAB" w:rsidRPr="00E70CA5" w:rsidRDefault="003F2FF9" w:rsidP="00EC116B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Cumulative incidence of relapse was calculated for patients who achieved </w:t>
      </w:r>
      <w:proofErr w:type="spellStart"/>
      <w:r>
        <w:rPr>
          <w:rFonts w:ascii="Times New Roman" w:hAnsi="Times New Roman" w:cs="Times New Roman"/>
          <w:sz w:val="24"/>
          <w:szCs w:val="24"/>
        </w:rPr>
        <w:t>CR+CRi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Events included relapsed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CR+CRi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death; patients were censored at time of HCT. Among patients who achieved </w:t>
      </w:r>
      <w:proofErr w:type="spellStart"/>
      <w:r>
        <w:rPr>
          <w:rFonts w:ascii="Times New Roman" w:hAnsi="Times New Roman" w:cs="Times New Roman"/>
          <w:sz w:val="24"/>
          <w:szCs w:val="24"/>
        </w:rPr>
        <w:t>CR+CRi</w:t>
      </w:r>
      <w:proofErr w:type="spellEnd"/>
      <w:r>
        <w:rPr>
          <w:rFonts w:ascii="Times New Roman" w:hAnsi="Times New Roman" w:cs="Times New Roman"/>
          <w:sz w:val="24"/>
          <w:szCs w:val="24"/>
        </w:rPr>
        <w:t>, the cumulative incidence of relapse at 6 months was 0.35 in the CPX-351 arm and 0.43 in the 7+3 arm</w:t>
      </w:r>
      <w:r w:rsidR="00436264">
        <w:rPr>
          <w:rFonts w:ascii="Times New Roman" w:hAnsi="Times New Roman" w:cs="Times New Roman"/>
          <w:sz w:val="24"/>
          <w:szCs w:val="24"/>
        </w:rPr>
        <w:t>, and a</w:t>
      </w:r>
      <w:r>
        <w:rPr>
          <w:rFonts w:ascii="Times New Roman" w:hAnsi="Times New Roman" w:cs="Times New Roman"/>
          <w:sz w:val="24"/>
          <w:szCs w:val="24"/>
        </w:rPr>
        <w:t>t 1 year was 0.67 in the CPX-351 arm and 0.63 in the 7+3 arm</w:t>
      </w:r>
      <w:r w:rsidR="00436264">
        <w:rPr>
          <w:rFonts w:ascii="Times New Roman" w:hAnsi="Times New Roman" w:cs="Times New Roman"/>
          <w:sz w:val="24"/>
          <w:szCs w:val="24"/>
        </w:rPr>
        <w:t>; values are shown with their 95% confidence intervals in the figure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7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Among patients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CR+CRi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26.0% and 26.9% of patients in the CPX-351 and 7+3 cohorts had relapsed at 1 year, respectively. </w:t>
      </w:r>
      <w:r w:rsidR="00E22DCB" w:rsidRPr="00E70CA5">
        <w:rPr>
          <w:rFonts w:ascii="Times New Roman" w:hAnsi="Times New Roman" w:cs="Times New Roman"/>
          <w:sz w:val="24"/>
          <w:szCs w:val="24"/>
        </w:rPr>
        <w:t xml:space="preserve">CR, complete remission; </w:t>
      </w:r>
      <w:proofErr w:type="spellStart"/>
      <w:r w:rsidR="00E22DCB" w:rsidRPr="00E70CA5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="00E22DCB" w:rsidRPr="00E70CA5">
        <w:rPr>
          <w:rFonts w:ascii="Times New Roman" w:hAnsi="Times New Roman" w:cs="Times New Roman"/>
          <w:sz w:val="24"/>
          <w:szCs w:val="24"/>
        </w:rPr>
        <w:t>, CR with incomplete neutrophil or platelet count recovery</w:t>
      </w:r>
      <w:r w:rsidR="00436264">
        <w:rPr>
          <w:rFonts w:ascii="Times New Roman" w:hAnsi="Times New Roman" w:cs="Times New Roman"/>
          <w:sz w:val="24"/>
          <w:szCs w:val="24"/>
        </w:rPr>
        <w:t>; HCT, hematopoietic cell transplantation</w:t>
      </w:r>
      <w:r w:rsidR="00E22DCB">
        <w:rPr>
          <w:rFonts w:ascii="Times New Roman" w:hAnsi="Times New Roman" w:cs="Times New Roman"/>
          <w:sz w:val="24"/>
          <w:szCs w:val="24"/>
        </w:rPr>
        <w:t>.</w:t>
      </w:r>
      <w:r w:rsidR="00176E8C">
        <w:rPr>
          <w:rFonts w:ascii="Times New Roman" w:hAnsi="Times New Roman" w:cs="Times New Roman"/>
          <w:sz w:val="24"/>
          <w:szCs w:val="24"/>
        </w:rPr>
        <w:t xml:space="preserve"> </w:t>
      </w:r>
      <w:r w:rsidR="0063443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 wp14:anchorId="1340D02D" wp14:editId="2C0FA7A6">
            <wp:extent cx="5943600" cy="3246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V-62951_Figure_S1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471E0" w14:textId="77777777" w:rsidR="002E6F7D" w:rsidRDefault="002E6F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2B8E8FA" w14:textId="51143A11" w:rsidR="005A47FA" w:rsidRPr="00E70CA5" w:rsidRDefault="00555A12" w:rsidP="00E22DCB">
      <w:pPr>
        <w:keepNext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Fig</w:t>
      </w:r>
      <w:r w:rsidR="005A47FA" w:rsidRPr="00E70CA5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622F99">
        <w:rPr>
          <w:rFonts w:ascii="Times New Roman" w:hAnsi="Times New Roman" w:cs="Times New Roman"/>
          <w:b/>
          <w:sz w:val="24"/>
          <w:szCs w:val="24"/>
        </w:rPr>
        <w:t>2</w:t>
      </w:r>
      <w:r w:rsidR="005A47FA" w:rsidRPr="00E70C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47FA" w:rsidRPr="00555A12">
        <w:rPr>
          <w:rFonts w:ascii="Times New Roman" w:hAnsi="Times New Roman" w:cs="Times New Roman"/>
          <w:sz w:val="24"/>
          <w:szCs w:val="24"/>
        </w:rPr>
        <w:t xml:space="preserve">Complete </w:t>
      </w:r>
      <w:r w:rsidR="008D5C2B" w:rsidRPr="00555A12">
        <w:rPr>
          <w:rFonts w:ascii="Times New Roman" w:hAnsi="Times New Roman" w:cs="Times New Roman"/>
          <w:sz w:val="24"/>
          <w:szCs w:val="24"/>
        </w:rPr>
        <w:t>recovery counts for p</w:t>
      </w:r>
      <w:r w:rsidR="005A47FA" w:rsidRPr="00555A12">
        <w:rPr>
          <w:rFonts w:ascii="Times New Roman" w:hAnsi="Times New Roman" w:cs="Times New Roman"/>
          <w:sz w:val="24"/>
          <w:szCs w:val="24"/>
        </w:rPr>
        <w:t xml:space="preserve">atients </w:t>
      </w:r>
      <w:r w:rsidR="008D5C2B" w:rsidRPr="00555A12">
        <w:rPr>
          <w:rFonts w:ascii="Times New Roman" w:hAnsi="Times New Roman" w:cs="Times New Roman"/>
          <w:sz w:val="24"/>
          <w:szCs w:val="24"/>
        </w:rPr>
        <w:t>a</w:t>
      </w:r>
      <w:r w:rsidR="005A47FA" w:rsidRPr="00555A12">
        <w:rPr>
          <w:rFonts w:ascii="Times New Roman" w:hAnsi="Times New Roman" w:cs="Times New Roman"/>
          <w:sz w:val="24"/>
          <w:szCs w:val="24"/>
        </w:rPr>
        <w:t xml:space="preserve">chieving CR or </w:t>
      </w:r>
      <w:proofErr w:type="spellStart"/>
      <w:r w:rsidR="005A47FA" w:rsidRPr="00555A12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="00285380" w:rsidRPr="00555A12">
        <w:rPr>
          <w:rFonts w:ascii="Times New Roman" w:hAnsi="Times New Roman" w:cs="Times New Roman"/>
          <w:sz w:val="24"/>
          <w:szCs w:val="24"/>
        </w:rPr>
        <w:t>.</w:t>
      </w:r>
    </w:p>
    <w:p w14:paraId="32CE4648" w14:textId="272917B2" w:rsidR="0055290E" w:rsidRPr="00E70CA5" w:rsidRDefault="00EE322A" w:rsidP="005529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70CA5">
        <w:rPr>
          <w:rFonts w:ascii="Times New Roman" w:hAnsi="Times New Roman" w:cs="Times New Roman"/>
          <w:sz w:val="24"/>
          <w:szCs w:val="24"/>
        </w:rPr>
        <w:t>Median time to neutrophil recovery (</w:t>
      </w:r>
      <w:r w:rsidR="001F6D82" w:rsidRPr="00E70CA5">
        <w:rPr>
          <w:rFonts w:ascii="Times New Roman" w:hAnsi="Times New Roman" w:cs="Times New Roman"/>
          <w:sz w:val="24"/>
          <w:szCs w:val="24"/>
        </w:rPr>
        <w:sym w:font="Symbol" w:char="F0B3"/>
      </w:r>
      <w:r w:rsidR="001F6D82" w:rsidRPr="00E70CA5">
        <w:rPr>
          <w:rFonts w:ascii="Times New Roman" w:hAnsi="Times New Roman" w:cs="Times New Roman"/>
          <w:sz w:val="24"/>
          <w:szCs w:val="24"/>
        </w:rPr>
        <w:t>5</w:t>
      </w:r>
      <w:r w:rsidRPr="00E70CA5">
        <w:rPr>
          <w:rFonts w:ascii="Times New Roman" w:hAnsi="Times New Roman" w:cs="Times New Roman"/>
          <w:sz w:val="24"/>
          <w:szCs w:val="24"/>
        </w:rPr>
        <w:t>00/µL) was longer after induction with CPX-351 than with 7+3 (initial induction: 3</w:t>
      </w:r>
      <w:r w:rsidR="001F6D82" w:rsidRPr="00E70CA5">
        <w:rPr>
          <w:rFonts w:ascii="Times New Roman" w:hAnsi="Times New Roman" w:cs="Times New Roman"/>
          <w:sz w:val="24"/>
          <w:szCs w:val="24"/>
        </w:rPr>
        <w:t>5</w:t>
      </w:r>
      <w:r w:rsidRPr="00E70CA5">
        <w:rPr>
          <w:rFonts w:ascii="Times New Roman" w:hAnsi="Times New Roman" w:cs="Times New Roman"/>
          <w:sz w:val="24"/>
          <w:szCs w:val="24"/>
        </w:rPr>
        <w:t xml:space="preserve"> </w:t>
      </w:r>
      <w:r w:rsidR="00127FDC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="00902A0E" w:rsidRPr="00E70CA5">
        <w:rPr>
          <w:rFonts w:ascii="Times New Roman" w:hAnsi="Times New Roman" w:cs="Times New Roman"/>
          <w:sz w:val="24"/>
          <w:szCs w:val="24"/>
        </w:rPr>
        <w:t xml:space="preserve"> 29 days; second induction: 3</w:t>
      </w:r>
      <w:r w:rsidRPr="00E70CA5">
        <w:rPr>
          <w:rFonts w:ascii="Times New Roman" w:hAnsi="Times New Roman" w:cs="Times New Roman"/>
          <w:sz w:val="24"/>
          <w:szCs w:val="24"/>
        </w:rPr>
        <w:t xml:space="preserve">5 </w:t>
      </w:r>
      <w:r w:rsidR="0017648C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Pr="00E70CA5">
        <w:rPr>
          <w:rFonts w:ascii="Times New Roman" w:hAnsi="Times New Roman" w:cs="Times New Roman"/>
          <w:sz w:val="24"/>
          <w:szCs w:val="24"/>
        </w:rPr>
        <w:t xml:space="preserve"> 28 days). Similarly, median time to platelet recovery (</w:t>
      </w:r>
      <w:r w:rsidR="001F6D82" w:rsidRPr="00E70CA5">
        <w:rPr>
          <w:rFonts w:ascii="Times New Roman" w:hAnsi="Times New Roman" w:cs="Times New Roman"/>
          <w:sz w:val="24"/>
          <w:szCs w:val="24"/>
        </w:rPr>
        <w:sym w:font="Symbol" w:char="F0B3"/>
      </w:r>
      <w:r w:rsidR="001F6D82" w:rsidRPr="00E70CA5">
        <w:rPr>
          <w:rFonts w:ascii="Times New Roman" w:hAnsi="Times New Roman" w:cs="Times New Roman"/>
          <w:sz w:val="24"/>
          <w:szCs w:val="24"/>
        </w:rPr>
        <w:t>50</w:t>
      </w:r>
      <w:r w:rsidRPr="00E70CA5">
        <w:rPr>
          <w:rFonts w:ascii="Times New Roman" w:hAnsi="Times New Roman" w:cs="Times New Roman"/>
          <w:sz w:val="24"/>
          <w:szCs w:val="24"/>
        </w:rPr>
        <w:t xml:space="preserve">,000/µL) was longer following CPX-351 than 7+3 (initial induction: </w:t>
      </w:r>
      <w:r w:rsidR="00902A0E" w:rsidRPr="00E70CA5">
        <w:rPr>
          <w:rFonts w:ascii="Times New Roman" w:hAnsi="Times New Roman" w:cs="Times New Roman"/>
          <w:sz w:val="24"/>
          <w:szCs w:val="24"/>
        </w:rPr>
        <w:t>36.5</w:t>
      </w:r>
      <w:r w:rsidRPr="00E70CA5">
        <w:rPr>
          <w:rFonts w:ascii="Times New Roman" w:hAnsi="Times New Roman" w:cs="Times New Roman"/>
          <w:sz w:val="24"/>
          <w:szCs w:val="24"/>
        </w:rPr>
        <w:t xml:space="preserve"> </w:t>
      </w:r>
      <w:r w:rsidR="0017648C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Pr="00E70CA5">
        <w:rPr>
          <w:rFonts w:ascii="Times New Roman" w:hAnsi="Times New Roman" w:cs="Times New Roman"/>
          <w:sz w:val="24"/>
          <w:szCs w:val="24"/>
        </w:rPr>
        <w:t xml:space="preserve"> </w:t>
      </w:r>
      <w:r w:rsidR="00902A0E" w:rsidRPr="00E70CA5">
        <w:rPr>
          <w:rFonts w:ascii="Times New Roman" w:hAnsi="Times New Roman" w:cs="Times New Roman"/>
          <w:sz w:val="24"/>
          <w:szCs w:val="24"/>
        </w:rPr>
        <w:t>29 days; second induction: 35</w:t>
      </w:r>
      <w:r w:rsidRPr="00E70CA5">
        <w:rPr>
          <w:rFonts w:ascii="Times New Roman" w:hAnsi="Times New Roman" w:cs="Times New Roman"/>
          <w:sz w:val="24"/>
          <w:szCs w:val="24"/>
        </w:rPr>
        <w:t xml:space="preserve"> </w:t>
      </w:r>
      <w:r w:rsidR="0017648C" w:rsidRPr="0017648C">
        <w:rPr>
          <w:rFonts w:ascii="Times New Roman" w:hAnsi="Times New Roman" w:cs="Times New Roman"/>
          <w:i/>
          <w:sz w:val="24"/>
          <w:szCs w:val="24"/>
        </w:rPr>
        <w:t>v</w:t>
      </w:r>
      <w:r w:rsidR="00902A0E" w:rsidRPr="00E70CA5">
        <w:rPr>
          <w:rFonts w:ascii="Times New Roman" w:hAnsi="Times New Roman" w:cs="Times New Roman"/>
          <w:sz w:val="24"/>
          <w:szCs w:val="24"/>
        </w:rPr>
        <w:t xml:space="preserve"> 24</w:t>
      </w:r>
      <w:r w:rsidRPr="00E70CA5">
        <w:rPr>
          <w:rFonts w:ascii="Times New Roman" w:hAnsi="Times New Roman" w:cs="Times New Roman"/>
          <w:sz w:val="24"/>
          <w:szCs w:val="24"/>
        </w:rPr>
        <w:t xml:space="preserve"> days).</w:t>
      </w:r>
      <w:r w:rsidR="00555A12">
        <w:rPr>
          <w:rFonts w:ascii="Times New Roman" w:hAnsi="Times New Roman" w:cs="Times New Roman"/>
          <w:sz w:val="24"/>
          <w:szCs w:val="24"/>
        </w:rPr>
        <w:t xml:space="preserve"> </w:t>
      </w:r>
      <w:r w:rsidR="0055290E" w:rsidRPr="00E70CA5">
        <w:rPr>
          <w:rFonts w:ascii="Times New Roman" w:hAnsi="Times New Roman" w:cs="Times New Roman"/>
          <w:sz w:val="24"/>
          <w:szCs w:val="24"/>
        </w:rPr>
        <w:t xml:space="preserve">CR, complete remission; </w:t>
      </w:r>
      <w:proofErr w:type="spellStart"/>
      <w:r w:rsidR="0055290E" w:rsidRPr="00E70CA5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="0055290E" w:rsidRPr="00E70CA5">
        <w:rPr>
          <w:rFonts w:ascii="Times New Roman" w:hAnsi="Times New Roman" w:cs="Times New Roman"/>
          <w:sz w:val="24"/>
          <w:szCs w:val="24"/>
        </w:rPr>
        <w:t>, CR with incomplete neutrophil or platelet count recovery; ANC, absolute neutrophil count.</w:t>
      </w:r>
    </w:p>
    <w:p w14:paraId="53B37C20" w14:textId="77777777" w:rsidR="00B33455" w:rsidRPr="00E70CA5" w:rsidRDefault="00B33455" w:rsidP="005529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D862E70" w14:textId="63AA8A28" w:rsidR="003C68D9" w:rsidRPr="00E70CA5" w:rsidRDefault="000D44BD" w:rsidP="0034373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257AC7" wp14:editId="14FA5C10">
            <wp:extent cx="5939790" cy="478663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8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F0E42" w14:textId="77777777" w:rsidR="005D75ED" w:rsidRPr="00E70CA5" w:rsidRDefault="005D75ED">
      <w:pPr>
        <w:rPr>
          <w:rFonts w:ascii="Times New Roman" w:hAnsi="Times New Roman" w:cs="Times New Roman"/>
          <w:b/>
          <w:sz w:val="24"/>
          <w:szCs w:val="24"/>
        </w:rPr>
      </w:pPr>
      <w:r w:rsidRPr="00E70CA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691ACB" w14:textId="52366D03" w:rsidR="003D5CA5" w:rsidRPr="003D5CA5" w:rsidRDefault="003D5CA5" w:rsidP="00436264">
      <w:pPr>
        <w:pStyle w:val="ListParagraph"/>
        <w:numPr>
          <w:ilvl w:val="0"/>
          <w:numId w:val="42"/>
        </w:numPr>
        <w:spacing w:after="0" w:line="48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5CA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Supplemental tables</w:t>
      </w:r>
    </w:p>
    <w:p w14:paraId="051A971D" w14:textId="4DEBD007" w:rsidR="00461990" w:rsidRPr="00E70CA5" w:rsidRDefault="00461990" w:rsidP="00461990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0C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Table S1. </w:t>
      </w:r>
      <w:r w:rsidRPr="00555A12">
        <w:rPr>
          <w:rFonts w:ascii="Times New Roman" w:eastAsia="Times New Roman" w:hAnsi="Times New Roman" w:cs="Times New Roman"/>
          <w:bCs/>
          <w:sz w:val="24"/>
          <w:szCs w:val="24"/>
        </w:rPr>
        <w:t xml:space="preserve">Univariate Cox Regression Analysis for </w:t>
      </w:r>
      <w:r w:rsidR="001F5545" w:rsidRPr="00555A12">
        <w:rPr>
          <w:rFonts w:ascii="Times New Roman" w:eastAsia="Times New Roman" w:hAnsi="Times New Roman" w:cs="Times New Roman"/>
          <w:bCs/>
          <w:sz w:val="24"/>
          <w:szCs w:val="24"/>
        </w:rPr>
        <w:t>OS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029"/>
        <w:gridCol w:w="1551"/>
        <w:gridCol w:w="2108"/>
        <w:gridCol w:w="2718"/>
        <w:gridCol w:w="1170"/>
      </w:tblGrid>
      <w:tr w:rsidR="003805C5" w:rsidRPr="00E70CA5" w14:paraId="469689A4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D795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Factor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748952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Factor level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C4E7A8" w14:textId="6DBE7085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76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o.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/N</w:t>
            </w:r>
            <w:r w:rsidR="0076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o.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7DBD7" w14:textId="618AD502" w:rsidR="003805C5" w:rsidRPr="00E70CA5" w:rsidRDefault="002B3DE8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Hazard r</w:t>
            </w:r>
            <w:r w:rsidR="003805C5"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atio</w:t>
            </w:r>
            <w:r w:rsidR="003805C5"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805C5"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(95% CI)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6931C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Overall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value</w:t>
            </w:r>
          </w:p>
        </w:tc>
      </w:tr>
      <w:tr w:rsidR="003805C5" w:rsidRPr="00E70CA5" w14:paraId="258A7CB7" w14:textId="77777777" w:rsidTr="00767EED">
        <w:trPr>
          <w:cantSplit/>
          <w:trHeight w:val="116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2B24B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2BFC3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  <w:p w14:paraId="14776FE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0C7A9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190/309 (61.5)</w:t>
            </w:r>
          </w:p>
          <w:p w14:paraId="0AC79088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119/309 (38.5)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06230" w14:textId="46FEC2B4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1.02 (0.78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1.34)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55B841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0.892</w:t>
            </w:r>
          </w:p>
        </w:tc>
      </w:tr>
      <w:tr w:rsidR="003805C5" w:rsidRPr="00E70CA5" w14:paraId="3CEB62C0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DF4FEC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ECOG PS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09E99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4D537CC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6E5E0B7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EA95D7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82/309 (26.5)</w:t>
            </w:r>
          </w:p>
          <w:p w14:paraId="418305E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190/309 (61.5)</w:t>
            </w:r>
          </w:p>
          <w:p w14:paraId="5A86AD4F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37/309 (12.0)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39E97" w14:textId="5A9B4AD3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0.44 (0.28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0.69)</w:t>
            </w:r>
          </w:p>
          <w:p w14:paraId="34D80077" w14:textId="4235A6C6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0.65 (0.44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0.96)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50EEF0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3805C5" w:rsidRPr="00E70CA5" w14:paraId="6CC678A9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D38397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Karyotype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0067C9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Non-adverse</w:t>
            </w:r>
          </w:p>
          <w:p w14:paraId="679A6BA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Adverse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20B32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134/289 (46.4)</w:t>
            </w:r>
          </w:p>
          <w:p w14:paraId="4385653D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155/289 (53.6)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9A3FB" w14:textId="0B52495A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0.42 (0.31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0.58)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DB32605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3805C5" w:rsidRPr="00E70CA5" w14:paraId="35243958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50FEC59" w14:textId="3D2EAC65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WBC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ADD0A" w14:textId="68D00533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  <w:p w14:paraId="332E7FC8" w14:textId="2A47FB79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5B12D0" w14:textId="77777777" w:rsidR="00767EED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262/308 (85.1) </w:t>
            </w:r>
          </w:p>
          <w:p w14:paraId="19E8E982" w14:textId="7DEDA055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46/308 (14.9)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2EF81" w14:textId="30EF485E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0.53 (0.37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0.75)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801EA4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3805C5" w:rsidRPr="00E70CA5" w14:paraId="6C71A27A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B8AE8C" w14:textId="639414A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Platelets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0D18EF" w14:textId="0E75E4E5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50×10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  <w:p w14:paraId="0A826E21" w14:textId="46659662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50×10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C7B1A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186/307 (60.6)</w:t>
            </w:r>
          </w:p>
          <w:p w14:paraId="2FF6CFA0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121/307 (39.4)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7E7F2" w14:textId="2363E80C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1.55 (1.17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2.05)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02112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0.002</w:t>
            </w:r>
          </w:p>
        </w:tc>
      </w:tr>
      <w:tr w:rsidR="003805C5" w:rsidRPr="00E70CA5" w14:paraId="4BBB4139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31496" w14:textId="300E987F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Hemoglobin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9987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9 g/dL</w:t>
            </w:r>
          </w:p>
          <w:p w14:paraId="3F8B864B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9 g/dL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BBC64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206/308 (66.9)</w:t>
            </w:r>
          </w:p>
          <w:p w14:paraId="65673DA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102/308 (33.1)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58DD5" w14:textId="3F651078" w:rsidR="003805C5" w:rsidRPr="00E70CA5" w:rsidRDefault="003805C5" w:rsidP="00767EE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1.26 (0.94</w:t>
            </w:r>
            <w:r w:rsidR="0076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1.68)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A78DB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0.122</w:t>
            </w:r>
          </w:p>
        </w:tc>
      </w:tr>
      <w:tr w:rsidR="003805C5" w:rsidRPr="00E70CA5" w14:paraId="3BFFC052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C2157A" w14:textId="70607833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Bone marrow blast percentage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BEC72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  <w:p w14:paraId="12EA26B7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20%-40%</w:t>
            </w:r>
          </w:p>
          <w:p w14:paraId="3BDBF945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40%-60%</w:t>
            </w:r>
          </w:p>
          <w:p w14:paraId="00F6AE27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83B8BB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43/299 (14.4)</w:t>
            </w:r>
          </w:p>
          <w:p w14:paraId="6252980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127/299 (42.5) </w:t>
            </w:r>
          </w:p>
          <w:p w14:paraId="159E3AF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68/299 (22.7) </w:t>
            </w:r>
          </w:p>
          <w:p w14:paraId="7247DFE0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61/299 (20.4)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649AA5" w14:textId="3B2A8829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0.57 (0.35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0.90)</w:t>
            </w:r>
          </w:p>
          <w:p w14:paraId="108D98F7" w14:textId="647D2A20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0.67 (0.47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0.96) </w:t>
            </w:r>
          </w:p>
          <w:p w14:paraId="2331FA39" w14:textId="0C39ED8E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0.70 (0.47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1.04)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29736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0.071</w:t>
            </w:r>
          </w:p>
        </w:tc>
      </w:tr>
      <w:tr w:rsidR="003805C5" w:rsidRPr="00E70CA5" w14:paraId="581A3CC9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81CB20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FLT3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-ITD mutation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5A7373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  <w:p w14:paraId="440BE10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C5037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246/280 (87.9)</w:t>
            </w:r>
          </w:p>
          <w:p w14:paraId="1F21D27B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34/280 (12.1)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9476A6" w14:textId="457F5E91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0.74 (0.49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1.12)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0A6C2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0.155</w:t>
            </w:r>
          </w:p>
        </w:tc>
      </w:tr>
      <w:tr w:rsidR="003805C5" w:rsidRPr="00E70CA5" w14:paraId="00D41517" w14:textId="77777777" w:rsidTr="00767EED">
        <w:trPr>
          <w:cantSplit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AE2D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 arm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CC9DD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CPX-351</w:t>
            </w:r>
          </w:p>
          <w:p w14:paraId="55D8FDE0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7+3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905082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153/309 (49.5)</w:t>
            </w:r>
          </w:p>
          <w:p w14:paraId="3B6D4A18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156/309 (50.5)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C03D67" w14:textId="7E9CD317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0.69 (0.52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0.90)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F8026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0.006</w:t>
            </w:r>
          </w:p>
        </w:tc>
      </w:tr>
    </w:tbl>
    <w:p w14:paraId="6339BA64" w14:textId="3D580FAC" w:rsidR="00461990" w:rsidRPr="00E70CA5" w:rsidRDefault="00555A12" w:rsidP="004E3A47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Abbreviations: </w:t>
      </w:r>
      <w:r w:rsidR="001F5545" w:rsidRPr="00E70CA5">
        <w:rPr>
          <w:rFonts w:ascii="Times New Roman" w:eastAsia="Times New Roman" w:hAnsi="Times New Roman" w:cs="Times New Roman"/>
          <w:sz w:val="24"/>
          <w:szCs w:val="24"/>
        </w:rPr>
        <w:t xml:space="preserve">OS, overall survival; </w:t>
      </w:r>
      <w:r w:rsidR="00461990" w:rsidRPr="00E70CA5">
        <w:rPr>
          <w:rFonts w:ascii="Times New Roman" w:eastAsia="Times New Roman" w:hAnsi="Times New Roman" w:cs="Times New Roman"/>
          <w:sz w:val="24"/>
          <w:szCs w:val="24"/>
        </w:rPr>
        <w:t xml:space="preserve">CI, confidence interval; ECOG PS, Eastern Cooperative Oncology Group performance status; </w:t>
      </w:r>
      <w:r w:rsidR="001F2290" w:rsidRPr="00E70CA5">
        <w:rPr>
          <w:rFonts w:ascii="Times New Roman" w:hAnsi="Times New Roman" w:cs="Times New Roman"/>
          <w:i/>
          <w:sz w:val="24"/>
          <w:szCs w:val="24"/>
        </w:rPr>
        <w:t>FLT3</w:t>
      </w:r>
      <w:r w:rsidR="001F2290" w:rsidRPr="00E70CA5">
        <w:rPr>
          <w:rFonts w:ascii="Times New Roman" w:hAnsi="Times New Roman" w:cs="Times New Roman"/>
          <w:sz w:val="24"/>
          <w:szCs w:val="24"/>
        </w:rPr>
        <w:t xml:space="preserve">, FMS-like tyrosine kinase 3; </w:t>
      </w:r>
      <w:r w:rsidR="00461990" w:rsidRPr="00E70CA5">
        <w:rPr>
          <w:rFonts w:ascii="Times New Roman" w:eastAsia="Times New Roman" w:hAnsi="Times New Roman" w:cs="Times New Roman"/>
          <w:sz w:val="24"/>
          <w:szCs w:val="24"/>
        </w:rPr>
        <w:t>ITD, internal tandem duplication mutation; WBC, white blood cell count.</w:t>
      </w:r>
    </w:p>
    <w:p w14:paraId="38B08085" w14:textId="13C8A8BF" w:rsidR="00461990" w:rsidRPr="00E70CA5" w:rsidRDefault="00461990" w:rsidP="004E3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A5">
        <w:rPr>
          <w:rFonts w:ascii="Times New Roman" w:eastAsia="Times New Roman" w:hAnsi="Times New Roman" w:cs="Times New Roman"/>
          <w:sz w:val="24"/>
          <w:szCs w:val="24"/>
        </w:rPr>
        <w:t xml:space="preserve">The last factor level listed is the reference level for the associated hazard ratios; </w:t>
      </w:r>
      <w:r w:rsidRPr="00E70CA5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="000E0D20" w:rsidRPr="00E70CA5">
        <w:rPr>
          <w:rFonts w:ascii="Times New Roman" w:eastAsia="Times New Roman" w:hAnsi="Times New Roman" w:cs="Times New Roman"/>
          <w:sz w:val="24"/>
          <w:szCs w:val="24"/>
        </w:rPr>
        <w:t xml:space="preserve"> values were </w:t>
      </w:r>
      <w:r w:rsidRPr="00E70CA5">
        <w:rPr>
          <w:rFonts w:ascii="Times New Roman" w:eastAsia="Times New Roman" w:hAnsi="Times New Roman" w:cs="Times New Roman"/>
          <w:sz w:val="24"/>
          <w:szCs w:val="24"/>
        </w:rPr>
        <w:t xml:space="preserve">calculated from </w:t>
      </w:r>
      <w:r w:rsidR="000E0D20" w:rsidRPr="00E70CA5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70CA5">
        <w:rPr>
          <w:rFonts w:ascii="Times New Roman" w:eastAsia="Times New Roman" w:hAnsi="Times New Roman" w:cs="Times New Roman"/>
          <w:sz w:val="24"/>
          <w:szCs w:val="24"/>
        </w:rPr>
        <w:t>Wald chi-square test.</w:t>
      </w:r>
    </w:p>
    <w:p w14:paraId="663F4CB9" w14:textId="77777777" w:rsidR="00461990" w:rsidRPr="00E70CA5" w:rsidRDefault="00461990" w:rsidP="00461990">
      <w:pPr>
        <w:rPr>
          <w:rFonts w:ascii="Times New Roman" w:hAnsi="Times New Roman" w:cs="Times New Roman"/>
          <w:b/>
          <w:sz w:val="24"/>
          <w:szCs w:val="24"/>
        </w:rPr>
      </w:pPr>
      <w:r w:rsidRPr="00E70CA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56F5051" w14:textId="77B74B9D" w:rsidR="00461990" w:rsidRPr="00E70CA5" w:rsidRDefault="00461990" w:rsidP="00461990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0CA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Table S2. </w:t>
      </w:r>
      <w:r w:rsidRPr="00555A12">
        <w:rPr>
          <w:rFonts w:ascii="Times New Roman" w:eastAsia="Times New Roman" w:hAnsi="Times New Roman" w:cs="Times New Roman"/>
          <w:bCs/>
          <w:sz w:val="24"/>
          <w:szCs w:val="24"/>
        </w:rPr>
        <w:t xml:space="preserve">Multivariate Cox Regression Analysis for </w:t>
      </w:r>
      <w:r w:rsidR="001F5545" w:rsidRPr="00555A12">
        <w:rPr>
          <w:rFonts w:ascii="Times New Roman" w:eastAsia="Times New Roman" w:hAnsi="Times New Roman" w:cs="Times New Roman"/>
          <w:bCs/>
          <w:sz w:val="24"/>
          <w:szCs w:val="24"/>
        </w:rPr>
        <w:t>OS</w:t>
      </w: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38"/>
        <w:gridCol w:w="1464"/>
        <w:gridCol w:w="51"/>
        <w:gridCol w:w="1781"/>
        <w:gridCol w:w="151"/>
        <w:gridCol w:w="1882"/>
        <w:gridCol w:w="1522"/>
      </w:tblGrid>
      <w:tr w:rsidR="003805C5" w:rsidRPr="00E70CA5" w14:paraId="4A86C34D" w14:textId="77777777" w:rsidTr="003805C5">
        <w:trPr>
          <w:cantSplit/>
          <w:tblHeader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F000BF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Factor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59A0DC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Factor level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7D1353" w14:textId="1AD61139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76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o.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/N</w:t>
            </w:r>
            <w:r w:rsidR="0076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o.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5B5DA6" w14:textId="2B178603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="002B3DE8"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azard r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atio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(95% CI)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CF102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Overall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E70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value</w:t>
            </w:r>
          </w:p>
        </w:tc>
      </w:tr>
      <w:tr w:rsidR="003805C5" w:rsidRPr="00E70CA5" w14:paraId="4560E369" w14:textId="77777777" w:rsidTr="003805C5">
        <w:trPr>
          <w:cantSplit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FF3831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ECOG PS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1B73C4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0834D004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D1CEA90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5F9099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72/287 (25.1)</w:t>
            </w:r>
          </w:p>
          <w:p w14:paraId="323B01D8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180/287 (62.7)</w:t>
            </w:r>
          </w:p>
          <w:p w14:paraId="1CC28128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35/287 (12.2)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18C28" w14:textId="45E986AE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0.53 (0.33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0.86)</w:t>
            </w:r>
          </w:p>
          <w:p w14:paraId="23CAD651" w14:textId="3A80189D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0.73 (0.48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1.10)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63E54F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0.034</w:t>
            </w:r>
          </w:p>
        </w:tc>
      </w:tr>
      <w:tr w:rsidR="003805C5" w:rsidRPr="00E70CA5" w14:paraId="4E517D29" w14:textId="77777777" w:rsidTr="003805C5">
        <w:trPr>
          <w:cantSplit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011993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Karyotype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3EDB7F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Non-adverse</w:t>
            </w:r>
          </w:p>
          <w:p w14:paraId="1077485E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Adverse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1FFE9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133/287 (46.3) 154/287 (53.7)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6A26D" w14:textId="3B67635A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0.47 (0.34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0.65)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0426CE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3805C5" w:rsidRPr="00E70CA5" w14:paraId="36B2354A" w14:textId="77777777" w:rsidTr="003805C5">
        <w:trPr>
          <w:cantSplit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44E152" w14:textId="34C10094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WBC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40001C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  <w:p w14:paraId="5A84DA43" w14:textId="115123EB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B61428" w14:textId="70DB9781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246/287 (85.7) 41/287 (14.3)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017E0" w14:textId="0D8FAE6F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0.67 (0.45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0.98)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ED2506" w14:textId="6BA0B0DB" w:rsidR="003805C5" w:rsidRPr="00E70CA5" w:rsidRDefault="003805C5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0.041</w:t>
            </w:r>
          </w:p>
        </w:tc>
      </w:tr>
      <w:tr w:rsidR="003805C5" w:rsidRPr="00E70CA5" w14:paraId="5D54AEF9" w14:textId="77777777" w:rsidTr="003805C5">
        <w:trPr>
          <w:cantSplit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3B5CF2" w14:textId="79EDEA16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Platelets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97B98" w14:textId="1856553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50×10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  <w:p w14:paraId="08B73B3B" w14:textId="50D5E681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50×10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680512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174/287 (60.6)</w:t>
            </w:r>
          </w:p>
          <w:p w14:paraId="49977E0C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113/287 (39.4)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B6B99" w14:textId="3CAE70CA" w:rsidR="003805C5" w:rsidRPr="00E70CA5" w:rsidRDefault="00767EED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1.66 (1.24 to</w:t>
            </w:r>
            <w:r w:rsidR="003805C5"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2.24)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47D8CB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3805C5" w:rsidRPr="00E70CA5" w14:paraId="7B1F0540" w14:textId="77777777" w:rsidTr="003805C5">
        <w:trPr>
          <w:cantSplit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1866A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 arm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EE7A89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CPX-351</w:t>
            </w:r>
          </w:p>
          <w:p w14:paraId="1CDF8E26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7+3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CFA02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143/287 (49.8)</w:t>
            </w:r>
          </w:p>
          <w:p w14:paraId="54EFED07" w14:textId="77777777" w:rsidR="003805C5" w:rsidRPr="00E70CA5" w:rsidRDefault="003805C5" w:rsidP="004E3A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144/287 (50.2)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64F844" w14:textId="5C2DE454" w:rsidR="003805C5" w:rsidRPr="00E70CA5" w:rsidRDefault="003805C5" w:rsidP="00767EE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0.68 (0.51</w:t>
            </w:r>
            <w:r w:rsidR="00767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</w:t>
            </w: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0.90)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91F35" w14:textId="77777777" w:rsidR="003805C5" w:rsidRPr="00E70CA5" w:rsidRDefault="003805C5" w:rsidP="004E3A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eastAsia="Times New Roman" w:hAnsi="Times New Roman" w:cs="Times New Roman"/>
                <w:sz w:val="24"/>
                <w:szCs w:val="24"/>
              </w:rPr>
              <w:t>0.008</w:t>
            </w:r>
          </w:p>
        </w:tc>
      </w:tr>
    </w:tbl>
    <w:p w14:paraId="70194FA6" w14:textId="0DA99223" w:rsidR="00461990" w:rsidRPr="00E70CA5" w:rsidRDefault="00555A12" w:rsidP="004E3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Abbreviations: </w:t>
      </w:r>
      <w:r w:rsidR="001F5545" w:rsidRPr="00E70CA5">
        <w:rPr>
          <w:rFonts w:ascii="Times New Roman" w:eastAsia="Times New Roman" w:hAnsi="Times New Roman" w:cs="Times New Roman"/>
          <w:sz w:val="24"/>
          <w:szCs w:val="24"/>
        </w:rPr>
        <w:t xml:space="preserve">OS, overall survival; </w:t>
      </w:r>
      <w:r w:rsidR="00461990" w:rsidRPr="00E70CA5">
        <w:rPr>
          <w:rFonts w:ascii="Times New Roman" w:eastAsia="Times New Roman" w:hAnsi="Times New Roman" w:cs="Times New Roman"/>
          <w:sz w:val="24"/>
          <w:szCs w:val="24"/>
        </w:rPr>
        <w:t>CI, confidence interval; ECOG PS, Eastern Cooperative Oncology Group performance status; WBC, white blood cell count.</w:t>
      </w:r>
    </w:p>
    <w:p w14:paraId="1611869F" w14:textId="2B68CA15" w:rsidR="00461990" w:rsidRPr="00E70CA5" w:rsidRDefault="00461990" w:rsidP="004E3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A5">
        <w:rPr>
          <w:rFonts w:ascii="Times New Roman" w:eastAsia="Times New Roman" w:hAnsi="Times New Roman" w:cs="Times New Roman"/>
          <w:sz w:val="24"/>
          <w:szCs w:val="24"/>
        </w:rPr>
        <w:t xml:space="preserve">The last factor level listed is the reference level for the associated hazard ratios; </w:t>
      </w:r>
      <w:r w:rsidRPr="00E70CA5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="000E0D20" w:rsidRPr="00E70CA5">
        <w:rPr>
          <w:rFonts w:ascii="Times New Roman" w:eastAsia="Times New Roman" w:hAnsi="Times New Roman" w:cs="Times New Roman"/>
          <w:sz w:val="24"/>
          <w:szCs w:val="24"/>
        </w:rPr>
        <w:t xml:space="preserve"> values were </w:t>
      </w:r>
      <w:r w:rsidRPr="00E70CA5">
        <w:rPr>
          <w:rFonts w:ascii="Times New Roman" w:eastAsia="Times New Roman" w:hAnsi="Times New Roman" w:cs="Times New Roman"/>
          <w:sz w:val="24"/>
          <w:szCs w:val="24"/>
        </w:rPr>
        <w:t xml:space="preserve">calculated from </w:t>
      </w:r>
      <w:r w:rsidR="000E0D20" w:rsidRPr="00E70CA5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70CA5">
        <w:rPr>
          <w:rFonts w:ascii="Times New Roman" w:eastAsia="Times New Roman" w:hAnsi="Times New Roman" w:cs="Times New Roman"/>
          <w:sz w:val="24"/>
          <w:szCs w:val="24"/>
        </w:rPr>
        <w:t>Wald chi-square test.</w:t>
      </w:r>
    </w:p>
    <w:p w14:paraId="5198F4A0" w14:textId="77777777" w:rsidR="00461990" w:rsidRPr="00E70CA5" w:rsidRDefault="00461990">
      <w:pPr>
        <w:rPr>
          <w:rFonts w:ascii="Times New Roman" w:hAnsi="Times New Roman" w:cs="Times New Roman"/>
          <w:b/>
          <w:sz w:val="24"/>
          <w:szCs w:val="24"/>
        </w:rPr>
      </w:pPr>
      <w:r w:rsidRPr="00E70CA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99E0216" w14:textId="418E3141" w:rsidR="00D50D2C" w:rsidRPr="00E70CA5" w:rsidRDefault="00461990" w:rsidP="004E3A4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70CA5">
        <w:rPr>
          <w:rFonts w:ascii="Times New Roman" w:hAnsi="Times New Roman" w:cs="Times New Roman"/>
          <w:b/>
          <w:sz w:val="24"/>
          <w:szCs w:val="24"/>
        </w:rPr>
        <w:lastRenderedPageBreak/>
        <w:t>Table S3</w:t>
      </w:r>
      <w:r w:rsidR="00D50D2C" w:rsidRPr="00E70C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0D2C" w:rsidRPr="00555A12">
        <w:rPr>
          <w:rFonts w:ascii="Times New Roman" w:hAnsi="Times New Roman" w:cs="Times New Roman"/>
          <w:sz w:val="24"/>
          <w:szCs w:val="24"/>
        </w:rPr>
        <w:t xml:space="preserve">Demographic and Baseline Clinical Characteristics of Patients Who Underwent Allogeneic </w:t>
      </w:r>
      <w:r w:rsidR="0061253D" w:rsidRPr="00555A12">
        <w:rPr>
          <w:rFonts w:ascii="Times New Roman" w:hAnsi="Times New Roman" w:cs="Times New Roman"/>
          <w:sz w:val="24"/>
          <w:szCs w:val="24"/>
        </w:rPr>
        <w:t>H</w:t>
      </w:r>
      <w:r w:rsidR="001F5545" w:rsidRPr="00555A12">
        <w:rPr>
          <w:rFonts w:ascii="Times New Roman" w:hAnsi="Times New Roman" w:cs="Times New Roman"/>
          <w:sz w:val="24"/>
          <w:szCs w:val="24"/>
        </w:rPr>
        <w:t>CT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1170"/>
        <w:gridCol w:w="1089"/>
        <w:gridCol w:w="1251"/>
        <w:gridCol w:w="1008"/>
      </w:tblGrid>
      <w:tr w:rsidR="00495E13" w:rsidRPr="00E70CA5" w14:paraId="15FE0CEC" w14:textId="77777777" w:rsidTr="0058726C">
        <w:tc>
          <w:tcPr>
            <w:tcW w:w="5058" w:type="dxa"/>
          </w:tcPr>
          <w:p w14:paraId="29485A32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  <w:gridSpan w:val="2"/>
          </w:tcPr>
          <w:p w14:paraId="6ED33047" w14:textId="66888BB9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Aged 60-69 years</w:t>
            </w:r>
          </w:p>
        </w:tc>
        <w:tc>
          <w:tcPr>
            <w:tcW w:w="2259" w:type="dxa"/>
            <w:gridSpan w:val="2"/>
          </w:tcPr>
          <w:p w14:paraId="302852D2" w14:textId="13D34433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Aged 70-75 years</w:t>
            </w:r>
          </w:p>
        </w:tc>
      </w:tr>
      <w:tr w:rsidR="00495E13" w:rsidRPr="00E70CA5" w14:paraId="1B9C9800" w14:textId="154911BE" w:rsidTr="0058726C">
        <w:tc>
          <w:tcPr>
            <w:tcW w:w="5058" w:type="dxa"/>
          </w:tcPr>
          <w:p w14:paraId="6DC2FF4C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Characteristic</w:t>
            </w:r>
          </w:p>
        </w:tc>
        <w:tc>
          <w:tcPr>
            <w:tcW w:w="1170" w:type="dxa"/>
          </w:tcPr>
          <w:p w14:paraId="23AF6CBA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CPX-351 </w:t>
            </w:r>
          </w:p>
          <w:p w14:paraId="6CC909BB" w14:textId="672C3E63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36)</w:t>
            </w:r>
          </w:p>
        </w:tc>
        <w:tc>
          <w:tcPr>
            <w:tcW w:w="1089" w:type="dxa"/>
          </w:tcPr>
          <w:p w14:paraId="372E41AB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7+3 </w:t>
            </w:r>
          </w:p>
          <w:p w14:paraId="77874630" w14:textId="012F298D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33)</w:t>
            </w:r>
          </w:p>
        </w:tc>
        <w:tc>
          <w:tcPr>
            <w:tcW w:w="1251" w:type="dxa"/>
          </w:tcPr>
          <w:p w14:paraId="4CAFDC61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CPX-351 </w:t>
            </w:r>
          </w:p>
          <w:p w14:paraId="1513FD84" w14:textId="5108074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16)</w:t>
            </w:r>
          </w:p>
        </w:tc>
        <w:tc>
          <w:tcPr>
            <w:tcW w:w="1008" w:type="dxa"/>
          </w:tcPr>
          <w:p w14:paraId="386195F4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7+3 </w:t>
            </w:r>
          </w:p>
          <w:p w14:paraId="2F3A70CE" w14:textId="37F70AFE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0CA5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</w:tr>
      <w:tr w:rsidR="00495E13" w:rsidRPr="00E70CA5" w14:paraId="47991756" w14:textId="6B457007" w:rsidTr="0058726C">
        <w:tc>
          <w:tcPr>
            <w:tcW w:w="5058" w:type="dxa"/>
          </w:tcPr>
          <w:p w14:paraId="268C3FF6" w14:textId="1B6D873F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Sex,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170" w:type="dxa"/>
          </w:tcPr>
          <w:p w14:paraId="6D7E80CB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91FE4CB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71E430E3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14:paraId="61E7A13F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13" w:rsidRPr="00E70CA5" w14:paraId="74844F16" w14:textId="0E21CC86" w:rsidTr="0058726C">
        <w:tc>
          <w:tcPr>
            <w:tcW w:w="5058" w:type="dxa"/>
          </w:tcPr>
          <w:p w14:paraId="5721250B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Male</w:t>
            </w:r>
          </w:p>
        </w:tc>
        <w:tc>
          <w:tcPr>
            <w:tcW w:w="1170" w:type="dxa"/>
          </w:tcPr>
          <w:p w14:paraId="2D96F8EE" w14:textId="204527E8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21 (58)</w:t>
            </w:r>
          </w:p>
        </w:tc>
        <w:tc>
          <w:tcPr>
            <w:tcW w:w="1089" w:type="dxa"/>
          </w:tcPr>
          <w:p w14:paraId="13D88573" w14:textId="258B1A6D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18 (55)</w:t>
            </w:r>
          </w:p>
        </w:tc>
        <w:tc>
          <w:tcPr>
            <w:tcW w:w="1251" w:type="dxa"/>
          </w:tcPr>
          <w:p w14:paraId="28CE7CE8" w14:textId="3422C4A8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12 (75)</w:t>
            </w:r>
          </w:p>
        </w:tc>
        <w:tc>
          <w:tcPr>
            <w:tcW w:w="1008" w:type="dxa"/>
          </w:tcPr>
          <w:p w14:paraId="41AFF3F7" w14:textId="34DF413D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5 (83)</w:t>
            </w:r>
          </w:p>
        </w:tc>
      </w:tr>
      <w:tr w:rsidR="00495E13" w:rsidRPr="00E70CA5" w14:paraId="572D7DD3" w14:textId="162F28EB" w:rsidTr="0058726C">
        <w:tc>
          <w:tcPr>
            <w:tcW w:w="5058" w:type="dxa"/>
          </w:tcPr>
          <w:p w14:paraId="12DAF5AF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Female</w:t>
            </w:r>
          </w:p>
        </w:tc>
        <w:tc>
          <w:tcPr>
            <w:tcW w:w="1170" w:type="dxa"/>
          </w:tcPr>
          <w:p w14:paraId="750FE342" w14:textId="149436D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15 (42)</w:t>
            </w:r>
          </w:p>
        </w:tc>
        <w:tc>
          <w:tcPr>
            <w:tcW w:w="1089" w:type="dxa"/>
          </w:tcPr>
          <w:p w14:paraId="7D8E4D04" w14:textId="35B44424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15 (45)</w:t>
            </w:r>
          </w:p>
        </w:tc>
        <w:tc>
          <w:tcPr>
            <w:tcW w:w="1251" w:type="dxa"/>
          </w:tcPr>
          <w:p w14:paraId="0BE4DFCB" w14:textId="73D6A3B0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(25)</w:t>
            </w:r>
          </w:p>
        </w:tc>
        <w:tc>
          <w:tcPr>
            <w:tcW w:w="1008" w:type="dxa"/>
          </w:tcPr>
          <w:p w14:paraId="2A417F36" w14:textId="0C5291AC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(17)</w:t>
            </w:r>
          </w:p>
        </w:tc>
      </w:tr>
      <w:tr w:rsidR="00495E13" w:rsidRPr="00E70CA5" w14:paraId="5C2D117A" w14:textId="2DBA0B2B" w:rsidTr="0058726C">
        <w:tc>
          <w:tcPr>
            <w:tcW w:w="5058" w:type="dxa"/>
          </w:tcPr>
          <w:p w14:paraId="0740ECBC" w14:textId="53EA2E9D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Race,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170" w:type="dxa"/>
          </w:tcPr>
          <w:p w14:paraId="60C69D0B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14:paraId="3E83AA67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0EDB2B76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14:paraId="554B2E36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13" w:rsidRPr="00E70CA5" w14:paraId="6007E135" w14:textId="4038B34C" w:rsidTr="0058726C">
        <w:tc>
          <w:tcPr>
            <w:tcW w:w="5058" w:type="dxa"/>
          </w:tcPr>
          <w:p w14:paraId="480449EA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White</w:t>
            </w:r>
          </w:p>
        </w:tc>
        <w:tc>
          <w:tcPr>
            <w:tcW w:w="1170" w:type="dxa"/>
          </w:tcPr>
          <w:p w14:paraId="6794729E" w14:textId="1711224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28 (78)</w:t>
            </w:r>
          </w:p>
        </w:tc>
        <w:tc>
          <w:tcPr>
            <w:tcW w:w="1089" w:type="dxa"/>
          </w:tcPr>
          <w:p w14:paraId="44FE04B8" w14:textId="4791237E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27 (82)</w:t>
            </w:r>
          </w:p>
        </w:tc>
        <w:tc>
          <w:tcPr>
            <w:tcW w:w="1251" w:type="dxa"/>
          </w:tcPr>
          <w:p w14:paraId="08605DAB" w14:textId="56AB3B31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16 (100)</w:t>
            </w:r>
          </w:p>
        </w:tc>
        <w:tc>
          <w:tcPr>
            <w:tcW w:w="1008" w:type="dxa"/>
          </w:tcPr>
          <w:p w14:paraId="5A4330BE" w14:textId="020A9A20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5 (83)</w:t>
            </w:r>
          </w:p>
        </w:tc>
      </w:tr>
      <w:tr w:rsidR="00495E13" w:rsidRPr="00E70CA5" w14:paraId="35EF0A27" w14:textId="5EB1C376" w:rsidTr="0058726C">
        <w:tc>
          <w:tcPr>
            <w:tcW w:w="5058" w:type="dxa"/>
          </w:tcPr>
          <w:p w14:paraId="29578A58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Black or African American</w:t>
            </w:r>
          </w:p>
        </w:tc>
        <w:tc>
          <w:tcPr>
            <w:tcW w:w="1170" w:type="dxa"/>
          </w:tcPr>
          <w:p w14:paraId="1E630E83" w14:textId="22FEC2C4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</w:tcPr>
          <w:p w14:paraId="59308870" w14:textId="0A19D805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3 (9)</w:t>
            </w:r>
          </w:p>
        </w:tc>
        <w:tc>
          <w:tcPr>
            <w:tcW w:w="1251" w:type="dxa"/>
          </w:tcPr>
          <w:p w14:paraId="4160E606" w14:textId="6BC77080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64A468EC" w14:textId="5D33C52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(17)</w:t>
            </w:r>
          </w:p>
        </w:tc>
      </w:tr>
      <w:tr w:rsidR="00495E13" w:rsidRPr="00E70CA5" w14:paraId="70F40324" w14:textId="125A0486" w:rsidTr="0058726C">
        <w:tc>
          <w:tcPr>
            <w:tcW w:w="5058" w:type="dxa"/>
          </w:tcPr>
          <w:p w14:paraId="2E654F5D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Asian</w:t>
            </w:r>
          </w:p>
        </w:tc>
        <w:tc>
          <w:tcPr>
            <w:tcW w:w="1170" w:type="dxa"/>
          </w:tcPr>
          <w:p w14:paraId="7FA26A6A" w14:textId="60DEDF4A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5 (14)</w:t>
            </w:r>
          </w:p>
        </w:tc>
        <w:tc>
          <w:tcPr>
            <w:tcW w:w="1089" w:type="dxa"/>
          </w:tcPr>
          <w:p w14:paraId="14D9573A" w14:textId="6FE334BF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(3)</w:t>
            </w:r>
          </w:p>
        </w:tc>
        <w:tc>
          <w:tcPr>
            <w:tcW w:w="1251" w:type="dxa"/>
          </w:tcPr>
          <w:p w14:paraId="73BC587C" w14:textId="261F5418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226C338A" w14:textId="1AE9D7EA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5E13" w:rsidRPr="00E70CA5" w14:paraId="1901A5B6" w14:textId="2C020B14" w:rsidTr="0058726C">
        <w:tc>
          <w:tcPr>
            <w:tcW w:w="5058" w:type="dxa"/>
          </w:tcPr>
          <w:p w14:paraId="5C296952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American Indian or Alaska Native</w:t>
            </w:r>
          </w:p>
        </w:tc>
        <w:tc>
          <w:tcPr>
            <w:tcW w:w="1170" w:type="dxa"/>
          </w:tcPr>
          <w:p w14:paraId="3BBA688C" w14:textId="06C42AB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</w:tcPr>
          <w:p w14:paraId="7949A310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</w:tcPr>
          <w:p w14:paraId="36CF014B" w14:textId="180CF285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656FBEDA" w14:textId="43C088DF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5E13" w:rsidRPr="00E70CA5" w14:paraId="378001F8" w14:textId="0AF9A111" w:rsidTr="0058726C">
        <w:tc>
          <w:tcPr>
            <w:tcW w:w="5058" w:type="dxa"/>
          </w:tcPr>
          <w:p w14:paraId="6F3EE532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Other</w:t>
            </w:r>
          </w:p>
        </w:tc>
        <w:tc>
          <w:tcPr>
            <w:tcW w:w="1170" w:type="dxa"/>
          </w:tcPr>
          <w:p w14:paraId="5AEBA433" w14:textId="0B27D99C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3 (8)</w:t>
            </w:r>
          </w:p>
        </w:tc>
        <w:tc>
          <w:tcPr>
            <w:tcW w:w="1089" w:type="dxa"/>
          </w:tcPr>
          <w:p w14:paraId="1D072E18" w14:textId="40ABA88A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(6)</w:t>
            </w:r>
          </w:p>
        </w:tc>
        <w:tc>
          <w:tcPr>
            <w:tcW w:w="1251" w:type="dxa"/>
          </w:tcPr>
          <w:p w14:paraId="227396AC" w14:textId="4C4FA176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25A4C3EC" w14:textId="25F20C8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5E13" w:rsidRPr="00E70CA5" w14:paraId="4DF80E5E" w14:textId="5756C687" w:rsidTr="0058726C">
        <w:tc>
          <w:tcPr>
            <w:tcW w:w="5058" w:type="dxa"/>
          </w:tcPr>
          <w:p w14:paraId="1743EC94" w14:textId="5A0B15C0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ECOG PS,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170" w:type="dxa"/>
          </w:tcPr>
          <w:p w14:paraId="23D79EBE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1F1A29C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048CCC6C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14:paraId="370B1ED5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13" w:rsidRPr="00E70CA5" w14:paraId="1278C664" w14:textId="40AA9989" w:rsidTr="0058726C">
        <w:tc>
          <w:tcPr>
            <w:tcW w:w="5058" w:type="dxa"/>
          </w:tcPr>
          <w:p w14:paraId="404C01DE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1170" w:type="dxa"/>
          </w:tcPr>
          <w:p w14:paraId="3EF073B2" w14:textId="3C2C497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11 (31)</w:t>
            </w:r>
          </w:p>
        </w:tc>
        <w:tc>
          <w:tcPr>
            <w:tcW w:w="1089" w:type="dxa"/>
          </w:tcPr>
          <w:p w14:paraId="29934989" w14:textId="7CC47D75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15 (45)</w:t>
            </w:r>
          </w:p>
        </w:tc>
        <w:tc>
          <w:tcPr>
            <w:tcW w:w="1251" w:type="dxa"/>
          </w:tcPr>
          <w:p w14:paraId="7945E7AC" w14:textId="51D756A8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7 (44)</w:t>
            </w:r>
          </w:p>
        </w:tc>
        <w:tc>
          <w:tcPr>
            <w:tcW w:w="1008" w:type="dxa"/>
          </w:tcPr>
          <w:p w14:paraId="6BD0F389" w14:textId="4D244D0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(33)</w:t>
            </w:r>
          </w:p>
        </w:tc>
      </w:tr>
      <w:tr w:rsidR="00495E13" w:rsidRPr="00E70CA5" w14:paraId="79279763" w14:textId="4A1BB5A5" w:rsidTr="0058726C">
        <w:tc>
          <w:tcPr>
            <w:tcW w:w="5058" w:type="dxa"/>
          </w:tcPr>
          <w:p w14:paraId="3E5FB7F4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170" w:type="dxa"/>
          </w:tcPr>
          <w:p w14:paraId="7920EC5F" w14:textId="795F4DE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23 (64)</w:t>
            </w:r>
          </w:p>
        </w:tc>
        <w:tc>
          <w:tcPr>
            <w:tcW w:w="1089" w:type="dxa"/>
          </w:tcPr>
          <w:p w14:paraId="7F18E574" w14:textId="731E976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16 (48)</w:t>
            </w:r>
          </w:p>
        </w:tc>
        <w:tc>
          <w:tcPr>
            <w:tcW w:w="1251" w:type="dxa"/>
          </w:tcPr>
          <w:p w14:paraId="63DDF7D3" w14:textId="04AC429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7 (44)</w:t>
            </w:r>
          </w:p>
        </w:tc>
        <w:tc>
          <w:tcPr>
            <w:tcW w:w="1008" w:type="dxa"/>
          </w:tcPr>
          <w:p w14:paraId="241463EB" w14:textId="5F83590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(67)</w:t>
            </w:r>
          </w:p>
        </w:tc>
      </w:tr>
      <w:tr w:rsidR="00495E13" w:rsidRPr="00E70CA5" w14:paraId="246F096F" w14:textId="3D49F434" w:rsidTr="0058726C">
        <w:tc>
          <w:tcPr>
            <w:tcW w:w="5058" w:type="dxa"/>
          </w:tcPr>
          <w:p w14:paraId="7EE7A1BA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1170" w:type="dxa"/>
          </w:tcPr>
          <w:p w14:paraId="17346B03" w14:textId="5FC4DB08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(6)</w:t>
            </w:r>
          </w:p>
        </w:tc>
        <w:tc>
          <w:tcPr>
            <w:tcW w:w="1089" w:type="dxa"/>
          </w:tcPr>
          <w:p w14:paraId="50FA111B" w14:textId="5B598184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(6)</w:t>
            </w:r>
          </w:p>
        </w:tc>
        <w:tc>
          <w:tcPr>
            <w:tcW w:w="1251" w:type="dxa"/>
          </w:tcPr>
          <w:p w14:paraId="2B1A1C80" w14:textId="4CFBF20F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(13)</w:t>
            </w:r>
          </w:p>
        </w:tc>
        <w:tc>
          <w:tcPr>
            <w:tcW w:w="1008" w:type="dxa"/>
          </w:tcPr>
          <w:p w14:paraId="592A53D1" w14:textId="7881F4F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5E13" w:rsidRPr="00E70CA5" w14:paraId="17FBD7D6" w14:textId="47DE6C77" w:rsidTr="0058726C">
        <w:tc>
          <w:tcPr>
            <w:tcW w:w="5058" w:type="dxa"/>
          </w:tcPr>
          <w:p w14:paraId="52C9ABE2" w14:textId="764E42FC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AML subtype,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170" w:type="dxa"/>
          </w:tcPr>
          <w:p w14:paraId="1DD3DEA9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14:paraId="6411BFE6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669BE30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14:paraId="3AF3EE84" w14:textId="77777777" w:rsidR="00495E13" w:rsidRPr="00E70CA5" w:rsidRDefault="00495E13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13" w:rsidRPr="00E70CA5" w14:paraId="70B525B0" w14:textId="3B121D43" w:rsidTr="0058726C">
        <w:tc>
          <w:tcPr>
            <w:tcW w:w="5058" w:type="dxa"/>
          </w:tcPr>
          <w:p w14:paraId="3393FB31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Therapy-related AML</w:t>
            </w:r>
          </w:p>
        </w:tc>
        <w:tc>
          <w:tcPr>
            <w:tcW w:w="1170" w:type="dxa"/>
          </w:tcPr>
          <w:p w14:paraId="4F186775" w14:textId="57FA5DB3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6 (17)</w:t>
            </w:r>
          </w:p>
        </w:tc>
        <w:tc>
          <w:tcPr>
            <w:tcW w:w="1089" w:type="dxa"/>
          </w:tcPr>
          <w:p w14:paraId="7645D97A" w14:textId="57686119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8 (24)</w:t>
            </w:r>
          </w:p>
        </w:tc>
        <w:tc>
          <w:tcPr>
            <w:tcW w:w="1251" w:type="dxa"/>
          </w:tcPr>
          <w:p w14:paraId="755C58D6" w14:textId="3BB979FC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5 (31)</w:t>
            </w:r>
          </w:p>
        </w:tc>
        <w:tc>
          <w:tcPr>
            <w:tcW w:w="1008" w:type="dxa"/>
          </w:tcPr>
          <w:p w14:paraId="40F96EFA" w14:textId="55898A4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(17)</w:t>
            </w:r>
          </w:p>
        </w:tc>
      </w:tr>
      <w:tr w:rsidR="000815F8" w:rsidRPr="00E70CA5" w14:paraId="01EF9AFD" w14:textId="77777777" w:rsidTr="0058726C">
        <w:tc>
          <w:tcPr>
            <w:tcW w:w="5058" w:type="dxa"/>
          </w:tcPr>
          <w:p w14:paraId="0BACD166" w14:textId="60198F29" w:rsidR="000815F8" w:rsidRPr="00E70CA5" w:rsidRDefault="000815F8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AML with antecedent MDS</w:t>
            </w:r>
          </w:p>
        </w:tc>
        <w:tc>
          <w:tcPr>
            <w:tcW w:w="1170" w:type="dxa"/>
          </w:tcPr>
          <w:p w14:paraId="7FE9EFE5" w14:textId="2863418E" w:rsidR="000815F8" w:rsidRPr="00E70CA5" w:rsidRDefault="000815F8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17 (47)</w:t>
            </w:r>
          </w:p>
        </w:tc>
        <w:tc>
          <w:tcPr>
            <w:tcW w:w="1089" w:type="dxa"/>
          </w:tcPr>
          <w:p w14:paraId="4CA52D16" w14:textId="02D6B6A3" w:rsidR="000815F8" w:rsidRPr="00E70CA5" w:rsidRDefault="000815F8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16 (48)</w:t>
            </w:r>
          </w:p>
        </w:tc>
        <w:tc>
          <w:tcPr>
            <w:tcW w:w="1251" w:type="dxa"/>
          </w:tcPr>
          <w:p w14:paraId="77BF796F" w14:textId="02293AB9" w:rsidR="000815F8" w:rsidRPr="00E70CA5" w:rsidRDefault="000815F8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(25)</w:t>
            </w:r>
          </w:p>
        </w:tc>
        <w:tc>
          <w:tcPr>
            <w:tcW w:w="1008" w:type="dxa"/>
          </w:tcPr>
          <w:p w14:paraId="07A28C5E" w14:textId="02BE84D5" w:rsidR="000815F8" w:rsidRPr="00E70CA5" w:rsidRDefault="000815F8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3 (50)</w:t>
            </w:r>
          </w:p>
        </w:tc>
      </w:tr>
      <w:tr w:rsidR="00495E13" w:rsidRPr="00E70CA5" w14:paraId="47975014" w14:textId="3C234C48" w:rsidTr="0058726C">
        <w:tc>
          <w:tcPr>
            <w:tcW w:w="5058" w:type="dxa"/>
          </w:tcPr>
          <w:p w14:paraId="7073C141" w14:textId="6E51A9D9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815F8"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 W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ith prior HMA</w:t>
            </w:r>
          </w:p>
        </w:tc>
        <w:tc>
          <w:tcPr>
            <w:tcW w:w="1170" w:type="dxa"/>
          </w:tcPr>
          <w:p w14:paraId="23C9BF3E" w14:textId="1AF758BE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13 (36)</w:t>
            </w:r>
          </w:p>
        </w:tc>
        <w:tc>
          <w:tcPr>
            <w:tcW w:w="1089" w:type="dxa"/>
          </w:tcPr>
          <w:p w14:paraId="0DBA8545" w14:textId="78713A07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12 (36)</w:t>
            </w:r>
          </w:p>
        </w:tc>
        <w:tc>
          <w:tcPr>
            <w:tcW w:w="1251" w:type="dxa"/>
          </w:tcPr>
          <w:p w14:paraId="2319D6E9" w14:textId="188B3F9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(6)</w:t>
            </w:r>
          </w:p>
        </w:tc>
        <w:tc>
          <w:tcPr>
            <w:tcW w:w="1008" w:type="dxa"/>
          </w:tcPr>
          <w:p w14:paraId="3132295E" w14:textId="3113E76A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(33)</w:t>
            </w:r>
          </w:p>
        </w:tc>
      </w:tr>
      <w:tr w:rsidR="00495E13" w:rsidRPr="00E70CA5" w14:paraId="417A40B9" w14:textId="6C69D25D" w:rsidTr="0058726C">
        <w:tc>
          <w:tcPr>
            <w:tcW w:w="5058" w:type="dxa"/>
          </w:tcPr>
          <w:p w14:paraId="12E7E8F5" w14:textId="07E2F1CF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815F8"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 W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ithout prior HMA</w:t>
            </w:r>
          </w:p>
        </w:tc>
        <w:tc>
          <w:tcPr>
            <w:tcW w:w="1170" w:type="dxa"/>
          </w:tcPr>
          <w:p w14:paraId="65E0C2BD" w14:textId="1D6A2E12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(11)</w:t>
            </w:r>
          </w:p>
        </w:tc>
        <w:tc>
          <w:tcPr>
            <w:tcW w:w="1089" w:type="dxa"/>
          </w:tcPr>
          <w:p w14:paraId="7A9BAE4A" w14:textId="75D45622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(12)</w:t>
            </w:r>
          </w:p>
        </w:tc>
        <w:tc>
          <w:tcPr>
            <w:tcW w:w="1251" w:type="dxa"/>
          </w:tcPr>
          <w:p w14:paraId="5C0FC0CA" w14:textId="63A199A2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3 (19)</w:t>
            </w:r>
          </w:p>
        </w:tc>
        <w:tc>
          <w:tcPr>
            <w:tcW w:w="1008" w:type="dxa"/>
          </w:tcPr>
          <w:p w14:paraId="32B8241C" w14:textId="498FCAAC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 (17)</w:t>
            </w:r>
          </w:p>
        </w:tc>
      </w:tr>
      <w:tr w:rsidR="00495E13" w:rsidRPr="00E70CA5" w14:paraId="424647C6" w14:textId="5D4E166B" w:rsidTr="0058726C">
        <w:tc>
          <w:tcPr>
            <w:tcW w:w="5058" w:type="dxa"/>
          </w:tcPr>
          <w:p w14:paraId="0A11CC02" w14:textId="1257AD4E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AML</w:t>
            </w:r>
            <w:r w:rsidR="0058726C"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with antecedent CMM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70" w:type="dxa"/>
          </w:tcPr>
          <w:p w14:paraId="67CC1130" w14:textId="44ABDBD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</w:tcPr>
          <w:p w14:paraId="1ABC3B93" w14:textId="7553CE76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</w:tcPr>
          <w:p w14:paraId="0D14F5BD" w14:textId="2C5EF4C3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3 (19)</w:t>
            </w:r>
          </w:p>
        </w:tc>
        <w:tc>
          <w:tcPr>
            <w:tcW w:w="1008" w:type="dxa"/>
          </w:tcPr>
          <w:p w14:paraId="17BEF551" w14:textId="51E0B33B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5E13" w:rsidRPr="00E70CA5" w14:paraId="0FC5B29F" w14:textId="13D5F43A" w:rsidTr="0058726C">
        <w:tc>
          <w:tcPr>
            <w:tcW w:w="5058" w:type="dxa"/>
          </w:tcPr>
          <w:p w14:paraId="1D3C5AD0" w14:textId="77777777" w:rsidR="00495E13" w:rsidRPr="00E70CA5" w:rsidRDefault="00495E13" w:rsidP="004E3A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0CA5">
              <w:rPr>
                <w:rFonts w:ascii="Times New Roman" w:hAnsi="Times New Roman" w:cs="Times New Roman"/>
                <w:i/>
                <w:sz w:val="24"/>
                <w:szCs w:val="24"/>
              </w:rPr>
              <w:t>de novo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AML with MDS karyotype</w:t>
            </w:r>
          </w:p>
        </w:tc>
        <w:tc>
          <w:tcPr>
            <w:tcW w:w="1170" w:type="dxa"/>
          </w:tcPr>
          <w:p w14:paraId="2F7495E9" w14:textId="1148C231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13 (36)</w:t>
            </w:r>
          </w:p>
        </w:tc>
        <w:tc>
          <w:tcPr>
            <w:tcW w:w="1089" w:type="dxa"/>
          </w:tcPr>
          <w:p w14:paraId="26A7D5E6" w14:textId="2C655926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9 (27)</w:t>
            </w:r>
          </w:p>
        </w:tc>
        <w:tc>
          <w:tcPr>
            <w:tcW w:w="1251" w:type="dxa"/>
          </w:tcPr>
          <w:p w14:paraId="1B7D0102" w14:textId="3448C8D5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4 (25)</w:t>
            </w:r>
          </w:p>
        </w:tc>
        <w:tc>
          <w:tcPr>
            <w:tcW w:w="1008" w:type="dxa"/>
          </w:tcPr>
          <w:p w14:paraId="120719B5" w14:textId="674D6A85" w:rsidR="00495E13" w:rsidRPr="00E70CA5" w:rsidRDefault="0058726C" w:rsidP="004E3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 (33)</w:t>
            </w:r>
          </w:p>
        </w:tc>
      </w:tr>
    </w:tbl>
    <w:p w14:paraId="1CB46FEA" w14:textId="55DC3168" w:rsidR="00BA7FD7" w:rsidRPr="00E70CA5" w:rsidRDefault="00555A12" w:rsidP="004E3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Abbreviations: </w:t>
      </w:r>
      <w:r w:rsidR="0061253D" w:rsidRPr="00E70CA5">
        <w:rPr>
          <w:rFonts w:ascii="Times New Roman" w:hAnsi="Times New Roman" w:cs="Times New Roman"/>
          <w:sz w:val="24"/>
          <w:szCs w:val="24"/>
        </w:rPr>
        <w:t>H</w:t>
      </w:r>
      <w:r w:rsidR="001F5545" w:rsidRPr="00E70CA5">
        <w:rPr>
          <w:rFonts w:ascii="Times New Roman" w:hAnsi="Times New Roman" w:cs="Times New Roman"/>
          <w:sz w:val="24"/>
          <w:szCs w:val="24"/>
        </w:rPr>
        <w:t>CT, hematopoietic stem cell transplant</w:t>
      </w:r>
      <w:r w:rsidR="00613AF8" w:rsidRPr="00E70CA5">
        <w:rPr>
          <w:rFonts w:ascii="Times New Roman" w:hAnsi="Times New Roman" w:cs="Times New Roman"/>
          <w:sz w:val="24"/>
          <w:szCs w:val="24"/>
        </w:rPr>
        <w:t>ation</w:t>
      </w:r>
      <w:r w:rsidR="001F5545" w:rsidRPr="00E70CA5">
        <w:rPr>
          <w:rFonts w:ascii="Times New Roman" w:hAnsi="Times New Roman" w:cs="Times New Roman"/>
          <w:sz w:val="24"/>
          <w:szCs w:val="24"/>
        </w:rPr>
        <w:t xml:space="preserve">; </w:t>
      </w:r>
      <w:r w:rsidR="00BA7FD7" w:rsidRPr="00E70CA5">
        <w:rPr>
          <w:rFonts w:ascii="Times New Roman" w:hAnsi="Times New Roman" w:cs="Times New Roman"/>
          <w:sz w:val="24"/>
          <w:szCs w:val="24"/>
        </w:rPr>
        <w:t xml:space="preserve">ECOG PS, Eastern Cooperative Oncology Group performance </w:t>
      </w:r>
      <w:r w:rsidR="000E3E5D">
        <w:rPr>
          <w:rFonts w:ascii="Times New Roman" w:hAnsi="Times New Roman" w:cs="Times New Roman"/>
          <w:sz w:val="24"/>
          <w:szCs w:val="24"/>
        </w:rPr>
        <w:t>status</w:t>
      </w:r>
      <w:r w:rsidR="00BA7FD7" w:rsidRPr="00E70CA5">
        <w:rPr>
          <w:rFonts w:ascii="Times New Roman" w:hAnsi="Times New Roman" w:cs="Times New Roman"/>
          <w:sz w:val="24"/>
          <w:szCs w:val="24"/>
        </w:rPr>
        <w:t xml:space="preserve">; AML, acute myeloid leukemia; MDS, myelodysplastic syndrome; HMA, hypomethylating agent; CMML, </w:t>
      </w:r>
      <w:r w:rsidR="006F57D6" w:rsidRPr="00E70CA5">
        <w:rPr>
          <w:rFonts w:ascii="Times New Roman" w:hAnsi="Times New Roman" w:cs="Times New Roman"/>
          <w:sz w:val="24"/>
          <w:szCs w:val="24"/>
        </w:rPr>
        <w:t>chronic myelomonocytic leukemia</w:t>
      </w:r>
      <w:r w:rsidR="00BA7FD7" w:rsidRPr="00E70CA5">
        <w:rPr>
          <w:rFonts w:ascii="Times New Roman" w:hAnsi="Times New Roman" w:cs="Times New Roman"/>
          <w:sz w:val="24"/>
          <w:szCs w:val="24"/>
        </w:rPr>
        <w:t>.</w:t>
      </w:r>
    </w:p>
    <w:p w14:paraId="658F68AC" w14:textId="2773813F" w:rsidR="003E6633" w:rsidRDefault="003E66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63C65CD" w14:textId="3E26C9F3" w:rsidR="000024D4" w:rsidRDefault="000024D4" w:rsidP="00002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438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Causes of Death by Treatment Arm</w:t>
      </w:r>
    </w:p>
    <w:p w14:paraId="161A49E9" w14:textId="77777777" w:rsidR="000024D4" w:rsidRDefault="000024D4" w:rsidP="00002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5"/>
        <w:gridCol w:w="1890"/>
        <w:gridCol w:w="1885"/>
      </w:tblGrid>
      <w:tr w:rsidR="000024D4" w14:paraId="10A205D6" w14:textId="77777777" w:rsidTr="00DD2B57">
        <w:tc>
          <w:tcPr>
            <w:tcW w:w="5575" w:type="dxa"/>
          </w:tcPr>
          <w:p w14:paraId="09921A5B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09DD11" w14:textId="77777777" w:rsidR="000024D4" w:rsidRPr="000D5438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438">
              <w:rPr>
                <w:rFonts w:ascii="Times New Roman" w:hAnsi="Times New Roman" w:cs="Times New Roman"/>
                <w:b/>
                <w:sz w:val="24"/>
                <w:szCs w:val="24"/>
              </w:rPr>
              <w:t>CPX-351</w:t>
            </w:r>
          </w:p>
          <w:p w14:paraId="26729E02" w14:textId="77777777" w:rsidR="000024D4" w:rsidRPr="000D5438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438">
              <w:rPr>
                <w:rFonts w:ascii="Times New Roman" w:hAnsi="Times New Roman" w:cs="Times New Roman"/>
                <w:b/>
                <w:sz w:val="24"/>
                <w:szCs w:val="24"/>
              </w:rPr>
              <w:t>(N = 153)</w:t>
            </w:r>
          </w:p>
        </w:tc>
        <w:tc>
          <w:tcPr>
            <w:tcW w:w="1885" w:type="dxa"/>
          </w:tcPr>
          <w:p w14:paraId="16247B7C" w14:textId="77777777" w:rsidR="000024D4" w:rsidRPr="000D5438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438">
              <w:rPr>
                <w:rFonts w:ascii="Times New Roman" w:hAnsi="Times New Roman" w:cs="Times New Roman"/>
                <w:b/>
                <w:sz w:val="24"/>
                <w:szCs w:val="24"/>
              </w:rPr>
              <w:t>7+3</w:t>
            </w:r>
            <w:r w:rsidRPr="000D54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(N = 156)</w:t>
            </w:r>
          </w:p>
        </w:tc>
      </w:tr>
      <w:tr w:rsidR="000024D4" w14:paraId="14E6FC94" w14:textId="77777777" w:rsidTr="00DD2B57">
        <w:tc>
          <w:tcPr>
            <w:tcW w:w="5575" w:type="dxa"/>
          </w:tcPr>
          <w:p w14:paraId="32C6A8A7" w14:textId="25E39746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 deaths, no.</w:t>
            </w:r>
            <w:r w:rsidR="007518A3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890" w:type="dxa"/>
          </w:tcPr>
          <w:p w14:paraId="0A40D434" w14:textId="6AF0780B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7518A3">
              <w:rPr>
                <w:rFonts w:ascii="Times New Roman" w:hAnsi="Times New Roman" w:cs="Times New Roman"/>
                <w:sz w:val="24"/>
                <w:szCs w:val="24"/>
              </w:rPr>
              <w:t xml:space="preserve"> (69.3)</w:t>
            </w:r>
          </w:p>
        </w:tc>
        <w:tc>
          <w:tcPr>
            <w:tcW w:w="1885" w:type="dxa"/>
          </w:tcPr>
          <w:p w14:paraId="741997F1" w14:textId="3C5A63CA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7518A3">
              <w:rPr>
                <w:rFonts w:ascii="Times New Roman" w:hAnsi="Times New Roman" w:cs="Times New Roman"/>
                <w:sz w:val="24"/>
                <w:szCs w:val="24"/>
              </w:rPr>
              <w:t xml:space="preserve"> (84.8)</w:t>
            </w:r>
          </w:p>
        </w:tc>
      </w:tr>
      <w:tr w:rsidR="000024D4" w14:paraId="0844533C" w14:textId="77777777" w:rsidTr="00DD2B57">
        <w:tc>
          <w:tcPr>
            <w:tcW w:w="5575" w:type="dxa"/>
          </w:tcPr>
          <w:p w14:paraId="7C746F56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Progressive leukemia</w:t>
            </w:r>
          </w:p>
        </w:tc>
        <w:tc>
          <w:tcPr>
            <w:tcW w:w="1890" w:type="dxa"/>
          </w:tcPr>
          <w:p w14:paraId="19E03194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5" w:type="dxa"/>
          </w:tcPr>
          <w:p w14:paraId="48DAADA4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0024D4" w14:paraId="50B6B527" w14:textId="77777777" w:rsidTr="00DD2B57">
        <w:tc>
          <w:tcPr>
            <w:tcW w:w="5575" w:type="dxa"/>
          </w:tcPr>
          <w:p w14:paraId="4039D26E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Adverse event</w:t>
            </w:r>
          </w:p>
        </w:tc>
        <w:tc>
          <w:tcPr>
            <w:tcW w:w="1890" w:type="dxa"/>
          </w:tcPr>
          <w:p w14:paraId="054A9131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85" w:type="dxa"/>
          </w:tcPr>
          <w:p w14:paraId="18B0C65E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024D4" w14:paraId="72A5D525" w14:textId="77777777" w:rsidTr="00DD2B57">
        <w:tc>
          <w:tcPr>
            <w:tcW w:w="5575" w:type="dxa"/>
          </w:tcPr>
          <w:p w14:paraId="0C506B11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Non-progressive disease cancer-related organ failure</w:t>
            </w:r>
          </w:p>
        </w:tc>
        <w:tc>
          <w:tcPr>
            <w:tcW w:w="1890" w:type="dxa"/>
          </w:tcPr>
          <w:p w14:paraId="0428331C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153D7B09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24D4" w14:paraId="032F0D2B" w14:textId="77777777" w:rsidTr="00DD2B57">
        <w:tc>
          <w:tcPr>
            <w:tcW w:w="5575" w:type="dxa"/>
          </w:tcPr>
          <w:p w14:paraId="3433F251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Unknown/other</w:t>
            </w:r>
          </w:p>
        </w:tc>
        <w:tc>
          <w:tcPr>
            <w:tcW w:w="1890" w:type="dxa"/>
          </w:tcPr>
          <w:p w14:paraId="47E3D9A1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85" w:type="dxa"/>
          </w:tcPr>
          <w:p w14:paraId="0B20C4EA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024D4" w14:paraId="3601BA13" w14:textId="77777777" w:rsidTr="00DD2B57">
        <w:tc>
          <w:tcPr>
            <w:tcW w:w="5575" w:type="dxa"/>
          </w:tcPr>
          <w:p w14:paraId="3F18DB06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Death within 30 days of treatment start, no.</w:t>
            </w:r>
          </w:p>
        </w:tc>
        <w:tc>
          <w:tcPr>
            <w:tcW w:w="1890" w:type="dxa"/>
          </w:tcPr>
          <w:p w14:paraId="37975C0F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5" w:type="dxa"/>
          </w:tcPr>
          <w:p w14:paraId="44B384FD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024D4" w14:paraId="0E23A6E4" w14:textId="77777777" w:rsidTr="00DD2B57">
        <w:tc>
          <w:tcPr>
            <w:tcW w:w="5575" w:type="dxa"/>
          </w:tcPr>
          <w:p w14:paraId="7B4C2E69" w14:textId="77777777" w:rsidR="000024D4" w:rsidRDefault="000024D4" w:rsidP="00DD2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Death within 60 days of treatment start, no.</w:t>
            </w:r>
          </w:p>
        </w:tc>
        <w:tc>
          <w:tcPr>
            <w:tcW w:w="1890" w:type="dxa"/>
          </w:tcPr>
          <w:p w14:paraId="349D653C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85" w:type="dxa"/>
          </w:tcPr>
          <w:p w14:paraId="154188A4" w14:textId="77777777" w:rsidR="000024D4" w:rsidRDefault="000024D4" w:rsidP="00DD2B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14:paraId="08C62BDC" w14:textId="77777777" w:rsidR="000024D4" w:rsidRDefault="000024D4" w:rsidP="00002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BD830" w14:textId="77777777" w:rsidR="000024D4" w:rsidRDefault="000024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3024F08" w14:textId="313643A1" w:rsidR="003E6633" w:rsidRPr="00E70CA5" w:rsidRDefault="003E6633" w:rsidP="00555A1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0024D4">
        <w:rPr>
          <w:rFonts w:ascii="Times New Roman" w:hAnsi="Times New Roman" w:cs="Times New Roman"/>
          <w:b/>
          <w:sz w:val="24"/>
          <w:szCs w:val="24"/>
        </w:rPr>
        <w:t>5</w:t>
      </w:r>
      <w:r w:rsidRPr="00E70C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55A12">
        <w:rPr>
          <w:rFonts w:ascii="Times New Roman" w:hAnsi="Times New Roman" w:cs="Times New Roman"/>
          <w:sz w:val="24"/>
          <w:szCs w:val="24"/>
        </w:rPr>
        <w:t>Demographic and Baseline Clinical Characteristics of Male and Female Patients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4"/>
        <w:gridCol w:w="1390"/>
        <w:gridCol w:w="1398"/>
        <w:gridCol w:w="1390"/>
        <w:gridCol w:w="1398"/>
      </w:tblGrid>
      <w:tr w:rsidR="003E6633" w14:paraId="25D8A9D4" w14:textId="77777777" w:rsidTr="00E8196A">
        <w:tc>
          <w:tcPr>
            <w:tcW w:w="3888" w:type="dxa"/>
            <w:vMerge w:val="restart"/>
            <w:vAlign w:val="bottom"/>
          </w:tcPr>
          <w:p w14:paraId="4E1CC211" w14:textId="77777777" w:rsidR="003E6633" w:rsidRPr="004B4A05" w:rsidRDefault="003E6633" w:rsidP="004E3A4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Characteristic</w:t>
            </w:r>
          </w:p>
        </w:tc>
        <w:tc>
          <w:tcPr>
            <w:tcW w:w="2844" w:type="dxa"/>
            <w:gridSpan w:val="2"/>
            <w:vAlign w:val="bottom"/>
          </w:tcPr>
          <w:p w14:paraId="404DE184" w14:textId="77777777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CPX-351</w:t>
            </w:r>
          </w:p>
        </w:tc>
        <w:tc>
          <w:tcPr>
            <w:tcW w:w="2844" w:type="dxa"/>
            <w:gridSpan w:val="2"/>
            <w:vAlign w:val="bottom"/>
          </w:tcPr>
          <w:p w14:paraId="06D1488B" w14:textId="77777777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7+3</w:t>
            </w:r>
          </w:p>
        </w:tc>
      </w:tr>
      <w:tr w:rsidR="003E6633" w14:paraId="7DF25075" w14:textId="77777777" w:rsidTr="00E8196A">
        <w:tc>
          <w:tcPr>
            <w:tcW w:w="3888" w:type="dxa"/>
            <w:vMerge/>
          </w:tcPr>
          <w:p w14:paraId="03F7FFBD" w14:textId="77777777" w:rsidR="003E6633" w:rsidRPr="004B4A05" w:rsidRDefault="003E6633" w:rsidP="004E3A4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vAlign w:val="bottom"/>
          </w:tcPr>
          <w:p w14:paraId="5C1AA15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Male </w:t>
            </w:r>
          </w:p>
          <w:p w14:paraId="04AC82D7" w14:textId="6B6AFAEE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94)</w:t>
            </w:r>
          </w:p>
        </w:tc>
        <w:tc>
          <w:tcPr>
            <w:tcW w:w="1422" w:type="dxa"/>
            <w:vAlign w:val="bottom"/>
          </w:tcPr>
          <w:p w14:paraId="69242BB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Female </w:t>
            </w:r>
          </w:p>
          <w:p w14:paraId="2BAE4C33" w14:textId="0CAEB6C9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59)</w:t>
            </w:r>
          </w:p>
        </w:tc>
        <w:tc>
          <w:tcPr>
            <w:tcW w:w="1422" w:type="dxa"/>
            <w:vAlign w:val="bottom"/>
          </w:tcPr>
          <w:p w14:paraId="58ADFAE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Male </w:t>
            </w:r>
          </w:p>
          <w:p w14:paraId="257F1024" w14:textId="12FD22EE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96)</w:t>
            </w:r>
          </w:p>
        </w:tc>
        <w:tc>
          <w:tcPr>
            <w:tcW w:w="1422" w:type="dxa"/>
            <w:vAlign w:val="bottom"/>
          </w:tcPr>
          <w:p w14:paraId="169AEC9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Female </w:t>
            </w:r>
          </w:p>
          <w:p w14:paraId="50739A46" w14:textId="5585101A" w:rsidR="003E6633" w:rsidRPr="004B4A05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(n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767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4A05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</w:tr>
      <w:tr w:rsidR="003E6633" w14:paraId="08A82EB0" w14:textId="77777777" w:rsidTr="00E8196A">
        <w:tc>
          <w:tcPr>
            <w:tcW w:w="3888" w:type="dxa"/>
          </w:tcPr>
          <w:p w14:paraId="5405A152" w14:textId="1FE9A521" w:rsidR="003E6633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422" w:type="dxa"/>
          </w:tcPr>
          <w:p w14:paraId="770ABA8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1A3A56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E0DA67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B78CF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633" w14:paraId="0385F8EC" w14:textId="77777777" w:rsidTr="00E8196A">
        <w:tc>
          <w:tcPr>
            <w:tcW w:w="3888" w:type="dxa"/>
          </w:tcPr>
          <w:p w14:paraId="3713BD93" w14:textId="77777777" w:rsidR="003E6633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Mean (SD), years</w:t>
            </w:r>
          </w:p>
        </w:tc>
        <w:tc>
          <w:tcPr>
            <w:tcW w:w="1422" w:type="dxa"/>
          </w:tcPr>
          <w:p w14:paraId="0B5C8D9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67.7 (4.18)</w:t>
            </w:r>
          </w:p>
        </w:tc>
        <w:tc>
          <w:tcPr>
            <w:tcW w:w="1422" w:type="dxa"/>
          </w:tcPr>
          <w:p w14:paraId="78B1985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67.8 (4.25)</w:t>
            </w:r>
          </w:p>
        </w:tc>
        <w:tc>
          <w:tcPr>
            <w:tcW w:w="1422" w:type="dxa"/>
          </w:tcPr>
          <w:p w14:paraId="502F7AA2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68.2 (4.12)</w:t>
            </w:r>
          </w:p>
        </w:tc>
        <w:tc>
          <w:tcPr>
            <w:tcW w:w="1422" w:type="dxa"/>
          </w:tcPr>
          <w:p w14:paraId="488077E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66.9 (3.98)</w:t>
            </w:r>
          </w:p>
        </w:tc>
      </w:tr>
      <w:tr w:rsidR="003E6633" w14:paraId="27A77D8C" w14:textId="77777777" w:rsidTr="00E8196A">
        <w:tc>
          <w:tcPr>
            <w:tcW w:w="3888" w:type="dxa"/>
          </w:tcPr>
          <w:p w14:paraId="45AB3B31" w14:textId="6CC78714" w:rsidR="003E6633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60-69 years,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550AAF40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(63)</w:t>
            </w:r>
          </w:p>
        </w:tc>
        <w:tc>
          <w:tcPr>
            <w:tcW w:w="1422" w:type="dxa"/>
          </w:tcPr>
          <w:p w14:paraId="15F20C0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(63)</w:t>
            </w:r>
          </w:p>
        </w:tc>
        <w:tc>
          <w:tcPr>
            <w:tcW w:w="1422" w:type="dxa"/>
          </w:tcPr>
          <w:p w14:paraId="01C46A5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(60)</w:t>
            </w:r>
          </w:p>
        </w:tc>
        <w:tc>
          <w:tcPr>
            <w:tcW w:w="1422" w:type="dxa"/>
          </w:tcPr>
          <w:p w14:paraId="672F965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(73)</w:t>
            </w:r>
          </w:p>
        </w:tc>
      </w:tr>
      <w:tr w:rsidR="003E6633" w14:paraId="2099E294" w14:textId="77777777" w:rsidTr="00E8196A">
        <w:tc>
          <w:tcPr>
            <w:tcW w:w="3888" w:type="dxa"/>
          </w:tcPr>
          <w:p w14:paraId="5F882A97" w14:textId="3D95F364" w:rsidR="003E6633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70-75 years,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05D6CEA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(37)</w:t>
            </w:r>
          </w:p>
        </w:tc>
        <w:tc>
          <w:tcPr>
            <w:tcW w:w="1422" w:type="dxa"/>
          </w:tcPr>
          <w:p w14:paraId="1CC3AB4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(37)</w:t>
            </w:r>
          </w:p>
        </w:tc>
        <w:tc>
          <w:tcPr>
            <w:tcW w:w="1422" w:type="dxa"/>
          </w:tcPr>
          <w:p w14:paraId="198F646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(40)</w:t>
            </w:r>
          </w:p>
        </w:tc>
        <w:tc>
          <w:tcPr>
            <w:tcW w:w="1422" w:type="dxa"/>
          </w:tcPr>
          <w:p w14:paraId="2D0B2BB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(27)</w:t>
            </w:r>
          </w:p>
        </w:tc>
      </w:tr>
      <w:tr w:rsidR="003E6633" w14:paraId="1EA71752" w14:textId="77777777" w:rsidTr="00E8196A">
        <w:tc>
          <w:tcPr>
            <w:tcW w:w="3888" w:type="dxa"/>
          </w:tcPr>
          <w:p w14:paraId="4A961757" w14:textId="3CA7172C" w:rsidR="003E6633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Race,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7B0A3AB2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27AB38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8470FD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937D9B0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A47" w14:paraId="76C89B28" w14:textId="77777777" w:rsidTr="00E8196A">
        <w:tc>
          <w:tcPr>
            <w:tcW w:w="3888" w:type="dxa"/>
          </w:tcPr>
          <w:p w14:paraId="0B366B3A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White</w:t>
            </w:r>
          </w:p>
        </w:tc>
        <w:tc>
          <w:tcPr>
            <w:tcW w:w="1422" w:type="dxa"/>
          </w:tcPr>
          <w:p w14:paraId="41BC39A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(86)</w:t>
            </w:r>
          </w:p>
        </w:tc>
        <w:tc>
          <w:tcPr>
            <w:tcW w:w="1422" w:type="dxa"/>
          </w:tcPr>
          <w:p w14:paraId="6CFCB49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(80)</w:t>
            </w:r>
          </w:p>
        </w:tc>
        <w:tc>
          <w:tcPr>
            <w:tcW w:w="1422" w:type="dxa"/>
          </w:tcPr>
          <w:p w14:paraId="35A9583B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(90)</w:t>
            </w:r>
          </w:p>
        </w:tc>
        <w:tc>
          <w:tcPr>
            <w:tcW w:w="1422" w:type="dxa"/>
          </w:tcPr>
          <w:p w14:paraId="3CAA92A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(88)</w:t>
            </w:r>
          </w:p>
        </w:tc>
      </w:tr>
      <w:tr w:rsidR="004E3A47" w14:paraId="514F82BD" w14:textId="77777777" w:rsidTr="00E8196A">
        <w:tc>
          <w:tcPr>
            <w:tcW w:w="3888" w:type="dxa"/>
          </w:tcPr>
          <w:p w14:paraId="08F537DC" w14:textId="77777777" w:rsidR="003E6633" w:rsidRPr="00E70CA5" w:rsidRDefault="003E6633" w:rsidP="004E3A47">
            <w:pPr>
              <w:spacing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Black or African American</w:t>
            </w:r>
          </w:p>
        </w:tc>
        <w:tc>
          <w:tcPr>
            <w:tcW w:w="1422" w:type="dxa"/>
          </w:tcPr>
          <w:p w14:paraId="426C9CC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1422" w:type="dxa"/>
          </w:tcPr>
          <w:p w14:paraId="5BC8794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(5)</w:t>
            </w:r>
          </w:p>
        </w:tc>
        <w:tc>
          <w:tcPr>
            <w:tcW w:w="1422" w:type="dxa"/>
          </w:tcPr>
          <w:p w14:paraId="34E18EF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1422" w:type="dxa"/>
          </w:tcPr>
          <w:p w14:paraId="4C3611A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(5)</w:t>
            </w:r>
          </w:p>
        </w:tc>
      </w:tr>
      <w:tr w:rsidR="004E3A47" w14:paraId="5D562C16" w14:textId="77777777" w:rsidTr="00E8196A">
        <w:tc>
          <w:tcPr>
            <w:tcW w:w="3888" w:type="dxa"/>
          </w:tcPr>
          <w:p w14:paraId="72577568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Asian</w:t>
            </w:r>
          </w:p>
        </w:tc>
        <w:tc>
          <w:tcPr>
            <w:tcW w:w="1422" w:type="dxa"/>
          </w:tcPr>
          <w:p w14:paraId="20401470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422" w:type="dxa"/>
          </w:tcPr>
          <w:p w14:paraId="555CD7B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(7)</w:t>
            </w:r>
          </w:p>
        </w:tc>
        <w:tc>
          <w:tcPr>
            <w:tcW w:w="1422" w:type="dxa"/>
          </w:tcPr>
          <w:p w14:paraId="65CB7452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422" w:type="dxa"/>
          </w:tcPr>
          <w:p w14:paraId="493A518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</w:tr>
      <w:tr w:rsidR="004E3A47" w14:paraId="2567E677" w14:textId="77777777" w:rsidTr="00E8196A">
        <w:tc>
          <w:tcPr>
            <w:tcW w:w="3888" w:type="dxa"/>
          </w:tcPr>
          <w:p w14:paraId="4DE640DA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Other</w:t>
            </w:r>
          </w:p>
        </w:tc>
        <w:tc>
          <w:tcPr>
            <w:tcW w:w="1422" w:type="dxa"/>
          </w:tcPr>
          <w:p w14:paraId="1552C48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(8)</w:t>
            </w:r>
          </w:p>
        </w:tc>
        <w:tc>
          <w:tcPr>
            <w:tcW w:w="1422" w:type="dxa"/>
          </w:tcPr>
          <w:p w14:paraId="23499CD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(8)</w:t>
            </w:r>
          </w:p>
        </w:tc>
        <w:tc>
          <w:tcPr>
            <w:tcW w:w="1422" w:type="dxa"/>
          </w:tcPr>
          <w:p w14:paraId="5A1300B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(6)</w:t>
            </w:r>
          </w:p>
        </w:tc>
        <w:tc>
          <w:tcPr>
            <w:tcW w:w="1422" w:type="dxa"/>
          </w:tcPr>
          <w:p w14:paraId="260EEB5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(5)</w:t>
            </w:r>
          </w:p>
        </w:tc>
      </w:tr>
      <w:tr w:rsidR="004E3A47" w14:paraId="068E377D" w14:textId="77777777" w:rsidTr="00E8196A">
        <w:tc>
          <w:tcPr>
            <w:tcW w:w="3888" w:type="dxa"/>
          </w:tcPr>
          <w:p w14:paraId="1E0125FE" w14:textId="7130D6A3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ECOG PS,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2D1B550B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C9A63B0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9EEFE8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0A64AB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A47" w14:paraId="71E55F64" w14:textId="77777777" w:rsidTr="00E8196A">
        <w:tc>
          <w:tcPr>
            <w:tcW w:w="3888" w:type="dxa"/>
          </w:tcPr>
          <w:p w14:paraId="18F36F6F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1422" w:type="dxa"/>
          </w:tcPr>
          <w:p w14:paraId="4E06BD1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(22)</w:t>
            </w:r>
          </w:p>
        </w:tc>
        <w:tc>
          <w:tcPr>
            <w:tcW w:w="1422" w:type="dxa"/>
          </w:tcPr>
          <w:p w14:paraId="73901F2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(27)</w:t>
            </w:r>
          </w:p>
        </w:tc>
        <w:tc>
          <w:tcPr>
            <w:tcW w:w="1422" w:type="dxa"/>
          </w:tcPr>
          <w:p w14:paraId="7B08524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(29)</w:t>
            </w:r>
          </w:p>
        </w:tc>
        <w:tc>
          <w:tcPr>
            <w:tcW w:w="1422" w:type="dxa"/>
          </w:tcPr>
          <w:p w14:paraId="0949DE6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(28)</w:t>
            </w:r>
          </w:p>
        </w:tc>
      </w:tr>
      <w:tr w:rsidR="004E3A47" w14:paraId="6755DD22" w14:textId="77777777" w:rsidTr="00E8196A">
        <w:tc>
          <w:tcPr>
            <w:tcW w:w="3888" w:type="dxa"/>
          </w:tcPr>
          <w:p w14:paraId="078980F5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22" w:type="dxa"/>
          </w:tcPr>
          <w:p w14:paraId="4124F39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(72)</w:t>
            </w:r>
          </w:p>
        </w:tc>
        <w:tc>
          <w:tcPr>
            <w:tcW w:w="1422" w:type="dxa"/>
          </w:tcPr>
          <w:p w14:paraId="41A2F29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(56)</w:t>
            </w:r>
          </w:p>
        </w:tc>
        <w:tc>
          <w:tcPr>
            <w:tcW w:w="1422" w:type="dxa"/>
          </w:tcPr>
          <w:p w14:paraId="2340ED1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(57)</w:t>
            </w:r>
          </w:p>
        </w:tc>
        <w:tc>
          <w:tcPr>
            <w:tcW w:w="1422" w:type="dxa"/>
          </w:tcPr>
          <w:p w14:paraId="0CD520B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(57)</w:t>
            </w:r>
          </w:p>
        </w:tc>
      </w:tr>
      <w:tr w:rsidR="004E3A47" w14:paraId="73DAA308" w14:textId="77777777" w:rsidTr="00E8196A">
        <w:tc>
          <w:tcPr>
            <w:tcW w:w="3888" w:type="dxa"/>
          </w:tcPr>
          <w:p w14:paraId="64113F76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1422" w:type="dxa"/>
          </w:tcPr>
          <w:p w14:paraId="04BC711B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(5)</w:t>
            </w:r>
          </w:p>
        </w:tc>
        <w:tc>
          <w:tcPr>
            <w:tcW w:w="1422" w:type="dxa"/>
          </w:tcPr>
          <w:p w14:paraId="4C4BC71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(17)</w:t>
            </w:r>
          </w:p>
        </w:tc>
        <w:tc>
          <w:tcPr>
            <w:tcW w:w="1422" w:type="dxa"/>
          </w:tcPr>
          <w:p w14:paraId="1222871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(14)</w:t>
            </w:r>
          </w:p>
        </w:tc>
        <w:tc>
          <w:tcPr>
            <w:tcW w:w="1422" w:type="dxa"/>
          </w:tcPr>
          <w:p w14:paraId="51A64CB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(15)</w:t>
            </w:r>
          </w:p>
        </w:tc>
      </w:tr>
      <w:tr w:rsidR="004E3A47" w14:paraId="05114F85" w14:textId="77777777" w:rsidTr="00E8196A">
        <w:tc>
          <w:tcPr>
            <w:tcW w:w="3888" w:type="dxa"/>
          </w:tcPr>
          <w:p w14:paraId="25AD68D6" w14:textId="79A71B61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AML subtype,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089BA80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8A80B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A78DAB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96AE64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A47" w14:paraId="41FD4F4D" w14:textId="77777777" w:rsidTr="00E8196A">
        <w:tc>
          <w:tcPr>
            <w:tcW w:w="3888" w:type="dxa"/>
          </w:tcPr>
          <w:p w14:paraId="0424625C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Therapy-related AML</w:t>
            </w:r>
          </w:p>
        </w:tc>
        <w:tc>
          <w:tcPr>
            <w:tcW w:w="1422" w:type="dxa"/>
          </w:tcPr>
          <w:p w14:paraId="02DE0A0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(15)</w:t>
            </w:r>
          </w:p>
        </w:tc>
        <w:tc>
          <w:tcPr>
            <w:tcW w:w="1422" w:type="dxa"/>
          </w:tcPr>
          <w:p w14:paraId="1B32DD7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(27)</w:t>
            </w:r>
          </w:p>
        </w:tc>
        <w:tc>
          <w:tcPr>
            <w:tcW w:w="1422" w:type="dxa"/>
          </w:tcPr>
          <w:p w14:paraId="0967304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(18)</w:t>
            </w:r>
          </w:p>
        </w:tc>
        <w:tc>
          <w:tcPr>
            <w:tcW w:w="1422" w:type="dxa"/>
          </w:tcPr>
          <w:p w14:paraId="56B3923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(27)</w:t>
            </w:r>
          </w:p>
        </w:tc>
      </w:tr>
      <w:tr w:rsidR="004E3A47" w14:paraId="09539383" w14:textId="77777777" w:rsidTr="00E8196A">
        <w:tc>
          <w:tcPr>
            <w:tcW w:w="3888" w:type="dxa"/>
          </w:tcPr>
          <w:p w14:paraId="2DD81876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AML with antecedent MDS</w:t>
            </w:r>
          </w:p>
        </w:tc>
        <w:tc>
          <w:tcPr>
            <w:tcW w:w="1422" w:type="dxa"/>
          </w:tcPr>
          <w:p w14:paraId="562F386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(46)</w:t>
            </w:r>
          </w:p>
        </w:tc>
        <w:tc>
          <w:tcPr>
            <w:tcW w:w="1422" w:type="dxa"/>
          </w:tcPr>
          <w:p w14:paraId="6C931FC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(47)</w:t>
            </w:r>
          </w:p>
        </w:tc>
        <w:tc>
          <w:tcPr>
            <w:tcW w:w="1422" w:type="dxa"/>
          </w:tcPr>
          <w:p w14:paraId="6337121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(55)</w:t>
            </w:r>
          </w:p>
        </w:tc>
        <w:tc>
          <w:tcPr>
            <w:tcW w:w="1422" w:type="dxa"/>
          </w:tcPr>
          <w:p w14:paraId="52BF20A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(35)</w:t>
            </w:r>
          </w:p>
        </w:tc>
      </w:tr>
      <w:tr w:rsidR="004E3A47" w14:paraId="4DEB7649" w14:textId="77777777" w:rsidTr="00E8196A">
        <w:tc>
          <w:tcPr>
            <w:tcW w:w="3888" w:type="dxa"/>
          </w:tcPr>
          <w:p w14:paraId="664EC5F4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    With prior HMA</w:t>
            </w:r>
          </w:p>
        </w:tc>
        <w:tc>
          <w:tcPr>
            <w:tcW w:w="1422" w:type="dxa"/>
          </w:tcPr>
          <w:p w14:paraId="770D18C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(34)</w:t>
            </w:r>
          </w:p>
        </w:tc>
        <w:tc>
          <w:tcPr>
            <w:tcW w:w="1422" w:type="dxa"/>
          </w:tcPr>
          <w:p w14:paraId="4C7C5CC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(31)</w:t>
            </w:r>
          </w:p>
        </w:tc>
        <w:tc>
          <w:tcPr>
            <w:tcW w:w="1422" w:type="dxa"/>
          </w:tcPr>
          <w:p w14:paraId="5A008AC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(40)</w:t>
            </w:r>
          </w:p>
        </w:tc>
        <w:tc>
          <w:tcPr>
            <w:tcW w:w="1422" w:type="dxa"/>
          </w:tcPr>
          <w:p w14:paraId="61D89C2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(28)</w:t>
            </w:r>
          </w:p>
        </w:tc>
      </w:tr>
      <w:tr w:rsidR="004E3A47" w14:paraId="3980E85B" w14:textId="77777777" w:rsidTr="00E8196A">
        <w:tc>
          <w:tcPr>
            <w:tcW w:w="3888" w:type="dxa"/>
          </w:tcPr>
          <w:p w14:paraId="5D259A7F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    Without prior HMA</w:t>
            </w:r>
          </w:p>
        </w:tc>
        <w:tc>
          <w:tcPr>
            <w:tcW w:w="1422" w:type="dxa"/>
          </w:tcPr>
          <w:p w14:paraId="06A4DB0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(12)</w:t>
            </w:r>
          </w:p>
        </w:tc>
        <w:tc>
          <w:tcPr>
            <w:tcW w:w="1422" w:type="dxa"/>
          </w:tcPr>
          <w:p w14:paraId="7D73235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(17)</w:t>
            </w:r>
          </w:p>
        </w:tc>
        <w:tc>
          <w:tcPr>
            <w:tcW w:w="1422" w:type="dxa"/>
          </w:tcPr>
          <w:p w14:paraId="451F6FE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(16)</w:t>
            </w:r>
          </w:p>
        </w:tc>
        <w:tc>
          <w:tcPr>
            <w:tcW w:w="1422" w:type="dxa"/>
          </w:tcPr>
          <w:p w14:paraId="6214229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(7)</w:t>
            </w:r>
          </w:p>
        </w:tc>
      </w:tr>
      <w:tr w:rsidR="004E3A47" w14:paraId="4DCEE5E0" w14:textId="77777777" w:rsidTr="00E8196A">
        <w:tc>
          <w:tcPr>
            <w:tcW w:w="3888" w:type="dxa"/>
          </w:tcPr>
          <w:p w14:paraId="215EC68C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AML with antecedent CMML</w:t>
            </w:r>
          </w:p>
        </w:tc>
        <w:tc>
          <w:tcPr>
            <w:tcW w:w="1422" w:type="dxa"/>
          </w:tcPr>
          <w:p w14:paraId="4BF3BA62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(11)</w:t>
            </w:r>
          </w:p>
        </w:tc>
        <w:tc>
          <w:tcPr>
            <w:tcW w:w="1422" w:type="dxa"/>
          </w:tcPr>
          <w:p w14:paraId="60420D0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  <w:tc>
          <w:tcPr>
            <w:tcW w:w="1422" w:type="dxa"/>
          </w:tcPr>
          <w:p w14:paraId="60FBA88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(6)</w:t>
            </w:r>
          </w:p>
        </w:tc>
        <w:tc>
          <w:tcPr>
            <w:tcW w:w="1422" w:type="dxa"/>
          </w:tcPr>
          <w:p w14:paraId="317E1A97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(10)</w:t>
            </w:r>
          </w:p>
        </w:tc>
      </w:tr>
      <w:tr w:rsidR="004E3A47" w14:paraId="75727792" w14:textId="77777777" w:rsidTr="00E8196A">
        <w:tc>
          <w:tcPr>
            <w:tcW w:w="3888" w:type="dxa"/>
          </w:tcPr>
          <w:p w14:paraId="1555A61C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0CA5">
              <w:rPr>
                <w:rFonts w:ascii="Times New Roman" w:hAnsi="Times New Roman" w:cs="Times New Roman"/>
                <w:i/>
                <w:sz w:val="24"/>
                <w:szCs w:val="24"/>
              </w:rPr>
              <w:t>de novo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AML with MDS karyotype</w:t>
            </w:r>
          </w:p>
        </w:tc>
        <w:tc>
          <w:tcPr>
            <w:tcW w:w="1422" w:type="dxa"/>
          </w:tcPr>
          <w:p w14:paraId="11D22A9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(29)</w:t>
            </w:r>
          </w:p>
        </w:tc>
        <w:tc>
          <w:tcPr>
            <w:tcW w:w="1422" w:type="dxa"/>
          </w:tcPr>
          <w:p w14:paraId="46B868A0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(24)</w:t>
            </w:r>
          </w:p>
        </w:tc>
        <w:tc>
          <w:tcPr>
            <w:tcW w:w="1422" w:type="dxa"/>
          </w:tcPr>
          <w:p w14:paraId="2B929B7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(21)</w:t>
            </w:r>
          </w:p>
        </w:tc>
        <w:tc>
          <w:tcPr>
            <w:tcW w:w="1422" w:type="dxa"/>
          </w:tcPr>
          <w:p w14:paraId="3262054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(28)</w:t>
            </w:r>
          </w:p>
        </w:tc>
      </w:tr>
      <w:tr w:rsidR="004E3A47" w14:paraId="06CCD18D" w14:textId="77777777" w:rsidTr="00E8196A">
        <w:tc>
          <w:tcPr>
            <w:tcW w:w="3888" w:type="dxa"/>
          </w:tcPr>
          <w:p w14:paraId="43620E01" w14:textId="1AD2554C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Cytogenetic risk by NCCN,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23C020D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CB8C83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7E51C2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76C76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A47" w14:paraId="666DDB21" w14:textId="77777777" w:rsidTr="00E8196A">
        <w:tc>
          <w:tcPr>
            <w:tcW w:w="3888" w:type="dxa"/>
          </w:tcPr>
          <w:p w14:paraId="7A8FCFDB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Favorable</w:t>
            </w:r>
          </w:p>
        </w:tc>
        <w:tc>
          <w:tcPr>
            <w:tcW w:w="1422" w:type="dxa"/>
          </w:tcPr>
          <w:p w14:paraId="7A26094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1422" w:type="dxa"/>
          </w:tcPr>
          <w:p w14:paraId="203DF6D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(6)</w:t>
            </w:r>
          </w:p>
        </w:tc>
        <w:tc>
          <w:tcPr>
            <w:tcW w:w="1422" w:type="dxa"/>
          </w:tcPr>
          <w:p w14:paraId="0432F25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1422" w:type="dxa"/>
          </w:tcPr>
          <w:p w14:paraId="3188C15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(4)</w:t>
            </w:r>
          </w:p>
        </w:tc>
      </w:tr>
      <w:tr w:rsidR="004E3A47" w14:paraId="353C5EC2" w14:textId="77777777" w:rsidTr="00E8196A">
        <w:tc>
          <w:tcPr>
            <w:tcW w:w="3888" w:type="dxa"/>
          </w:tcPr>
          <w:p w14:paraId="1F7C677E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Intermediate</w:t>
            </w:r>
          </w:p>
        </w:tc>
        <w:tc>
          <w:tcPr>
            <w:tcW w:w="1422" w:type="dxa"/>
          </w:tcPr>
          <w:p w14:paraId="029B12D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(53)</w:t>
            </w:r>
          </w:p>
        </w:tc>
        <w:tc>
          <w:tcPr>
            <w:tcW w:w="1422" w:type="dxa"/>
          </w:tcPr>
          <w:p w14:paraId="122E48D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(31)</w:t>
            </w:r>
          </w:p>
        </w:tc>
        <w:tc>
          <w:tcPr>
            <w:tcW w:w="1422" w:type="dxa"/>
          </w:tcPr>
          <w:p w14:paraId="14AD940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(45)</w:t>
            </w:r>
          </w:p>
        </w:tc>
        <w:tc>
          <w:tcPr>
            <w:tcW w:w="1422" w:type="dxa"/>
          </w:tcPr>
          <w:p w14:paraId="62140623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(32)</w:t>
            </w:r>
          </w:p>
        </w:tc>
      </w:tr>
      <w:tr w:rsidR="004E3A47" w14:paraId="72FDBE00" w14:textId="77777777" w:rsidTr="00E8196A">
        <w:tc>
          <w:tcPr>
            <w:tcW w:w="3888" w:type="dxa"/>
          </w:tcPr>
          <w:p w14:paraId="680BFD7C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Unfavorable</w:t>
            </w:r>
          </w:p>
        </w:tc>
        <w:tc>
          <w:tcPr>
            <w:tcW w:w="1422" w:type="dxa"/>
          </w:tcPr>
          <w:p w14:paraId="2F08630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(43)</w:t>
            </w:r>
          </w:p>
        </w:tc>
        <w:tc>
          <w:tcPr>
            <w:tcW w:w="1422" w:type="dxa"/>
          </w:tcPr>
          <w:p w14:paraId="6FCCBDD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(63)</w:t>
            </w:r>
          </w:p>
        </w:tc>
        <w:tc>
          <w:tcPr>
            <w:tcW w:w="1422" w:type="dxa"/>
          </w:tcPr>
          <w:p w14:paraId="1C9CC6D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(52)</w:t>
            </w:r>
          </w:p>
        </w:tc>
        <w:tc>
          <w:tcPr>
            <w:tcW w:w="1422" w:type="dxa"/>
          </w:tcPr>
          <w:p w14:paraId="4583F93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(65)</w:t>
            </w:r>
          </w:p>
        </w:tc>
      </w:tr>
      <w:tr w:rsidR="004E3A47" w14:paraId="5DC7753A" w14:textId="77777777" w:rsidTr="00E8196A">
        <w:tc>
          <w:tcPr>
            <w:tcW w:w="3888" w:type="dxa"/>
          </w:tcPr>
          <w:p w14:paraId="0B6EF738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Median % (range) bone marrow blasts (aspirate)</w:t>
            </w:r>
          </w:p>
        </w:tc>
        <w:tc>
          <w:tcPr>
            <w:tcW w:w="1422" w:type="dxa"/>
          </w:tcPr>
          <w:p w14:paraId="3B0EE48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 (5-87)</w:t>
            </w:r>
          </w:p>
        </w:tc>
        <w:tc>
          <w:tcPr>
            <w:tcW w:w="1422" w:type="dxa"/>
          </w:tcPr>
          <w:p w14:paraId="4560F571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36.5 (8-93)</w:t>
            </w:r>
          </w:p>
        </w:tc>
        <w:tc>
          <w:tcPr>
            <w:tcW w:w="1422" w:type="dxa"/>
          </w:tcPr>
          <w:p w14:paraId="33B4BBF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 (3-97)</w:t>
            </w:r>
          </w:p>
        </w:tc>
        <w:tc>
          <w:tcPr>
            <w:tcW w:w="1422" w:type="dxa"/>
          </w:tcPr>
          <w:p w14:paraId="379B598E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 (6-90)</w:t>
            </w:r>
          </w:p>
        </w:tc>
      </w:tr>
      <w:tr w:rsidR="004E3A47" w14:paraId="15DB3D6D" w14:textId="77777777" w:rsidTr="00E8196A">
        <w:tc>
          <w:tcPr>
            <w:tcW w:w="3888" w:type="dxa"/>
          </w:tcPr>
          <w:p w14:paraId="47E90757" w14:textId="121EFE3B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WBC,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51CB6334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A9B07D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2E462C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EAE756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A47" w14:paraId="36661618" w14:textId="77777777" w:rsidTr="00E8196A">
        <w:tc>
          <w:tcPr>
            <w:tcW w:w="3888" w:type="dxa"/>
          </w:tcPr>
          <w:p w14:paraId="16D030E1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3C"/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1422" w:type="dxa"/>
          </w:tcPr>
          <w:p w14:paraId="4BEFD6A5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(85)</w:t>
            </w:r>
          </w:p>
        </w:tc>
        <w:tc>
          <w:tcPr>
            <w:tcW w:w="1422" w:type="dxa"/>
          </w:tcPr>
          <w:p w14:paraId="4B0A468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(86)</w:t>
            </w:r>
          </w:p>
        </w:tc>
        <w:tc>
          <w:tcPr>
            <w:tcW w:w="1422" w:type="dxa"/>
          </w:tcPr>
          <w:p w14:paraId="64410ABA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(80)</w:t>
            </w:r>
          </w:p>
        </w:tc>
        <w:tc>
          <w:tcPr>
            <w:tcW w:w="1422" w:type="dxa"/>
          </w:tcPr>
          <w:p w14:paraId="2E455F4F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(92)</w:t>
            </w:r>
          </w:p>
        </w:tc>
      </w:tr>
      <w:tr w:rsidR="004E3A47" w14:paraId="51853405" w14:textId="77777777" w:rsidTr="00E8196A">
        <w:tc>
          <w:tcPr>
            <w:tcW w:w="3888" w:type="dxa"/>
          </w:tcPr>
          <w:p w14:paraId="056A59A2" w14:textId="77777777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20×10</w:t>
            </w:r>
            <w:r w:rsidRPr="00E70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70CA5">
              <w:rPr>
                <w:rFonts w:ascii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1422" w:type="dxa"/>
          </w:tcPr>
          <w:p w14:paraId="5BFD5732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(15)</w:t>
            </w:r>
          </w:p>
        </w:tc>
        <w:tc>
          <w:tcPr>
            <w:tcW w:w="1422" w:type="dxa"/>
          </w:tcPr>
          <w:p w14:paraId="2106ED9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(14)</w:t>
            </w:r>
          </w:p>
        </w:tc>
        <w:tc>
          <w:tcPr>
            <w:tcW w:w="1422" w:type="dxa"/>
          </w:tcPr>
          <w:p w14:paraId="21D64859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(20)</w:t>
            </w:r>
          </w:p>
        </w:tc>
        <w:tc>
          <w:tcPr>
            <w:tcW w:w="1422" w:type="dxa"/>
          </w:tcPr>
          <w:p w14:paraId="34A24D8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(8)</w:t>
            </w:r>
          </w:p>
        </w:tc>
      </w:tr>
      <w:tr w:rsidR="003E6633" w14:paraId="43C511EF" w14:textId="77777777" w:rsidTr="00E8196A">
        <w:tc>
          <w:tcPr>
            <w:tcW w:w="3888" w:type="dxa"/>
          </w:tcPr>
          <w:p w14:paraId="7E2986F1" w14:textId="4A0BEB0F" w:rsidR="003E6633" w:rsidRPr="00E70CA5" w:rsidRDefault="003E6633" w:rsidP="004E3A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7">
              <w:rPr>
                <w:rFonts w:ascii="Times New Roman" w:hAnsi="Times New Roman" w:cs="Times New Roman"/>
                <w:i/>
                <w:sz w:val="24"/>
                <w:szCs w:val="24"/>
              </w:rPr>
              <w:t>FLT3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mutation, n</w:t>
            </w:r>
            <w:r w:rsidR="00767EED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22" w:type="dxa"/>
          </w:tcPr>
          <w:p w14:paraId="1A2AD7AB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(14)</w:t>
            </w:r>
          </w:p>
        </w:tc>
        <w:tc>
          <w:tcPr>
            <w:tcW w:w="1422" w:type="dxa"/>
          </w:tcPr>
          <w:p w14:paraId="78A08838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(20)</w:t>
            </w:r>
          </w:p>
        </w:tc>
        <w:tc>
          <w:tcPr>
            <w:tcW w:w="1422" w:type="dxa"/>
          </w:tcPr>
          <w:p w14:paraId="4196C906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(16)</w:t>
            </w:r>
          </w:p>
        </w:tc>
        <w:tc>
          <w:tcPr>
            <w:tcW w:w="1422" w:type="dxa"/>
          </w:tcPr>
          <w:p w14:paraId="50AACE9C" w14:textId="77777777" w:rsidR="003E6633" w:rsidRDefault="003E6633" w:rsidP="004E3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(13)</w:t>
            </w:r>
          </w:p>
        </w:tc>
      </w:tr>
    </w:tbl>
    <w:p w14:paraId="55D007F0" w14:textId="0AD0A894" w:rsidR="00176E8C" w:rsidRPr="00176E8C" w:rsidRDefault="00555A12" w:rsidP="00AE2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Abbreviations: </w:t>
      </w:r>
      <w:r w:rsidR="003E6633" w:rsidRPr="00E70CA5">
        <w:rPr>
          <w:rFonts w:ascii="Times New Roman" w:hAnsi="Times New Roman" w:cs="Times New Roman"/>
          <w:sz w:val="24"/>
          <w:szCs w:val="24"/>
        </w:rPr>
        <w:t xml:space="preserve">SD, standard deviation; ECOG PS, Eastern Cooperative Oncology Group performance </w:t>
      </w:r>
      <w:r w:rsidR="00767EED">
        <w:rPr>
          <w:rFonts w:ascii="Times New Roman" w:hAnsi="Times New Roman" w:cs="Times New Roman"/>
          <w:sz w:val="24"/>
          <w:szCs w:val="24"/>
        </w:rPr>
        <w:t>status</w:t>
      </w:r>
      <w:r w:rsidR="003E6633" w:rsidRPr="00E70CA5">
        <w:rPr>
          <w:rFonts w:ascii="Times New Roman" w:hAnsi="Times New Roman" w:cs="Times New Roman"/>
          <w:sz w:val="24"/>
          <w:szCs w:val="24"/>
        </w:rPr>
        <w:t>; AML, acute myeloid leukemia; MDS, myelodysplastic syndrome; HMA, hypomethylating agent; CMML, chronic myelomonocytic leukemia; NCCN, National Comprehensive Cancer Network; WBC, white blood cell count</w:t>
      </w:r>
      <w:r w:rsidR="003E6633">
        <w:rPr>
          <w:rFonts w:ascii="Times New Roman" w:hAnsi="Times New Roman" w:cs="Times New Roman"/>
          <w:sz w:val="24"/>
          <w:szCs w:val="24"/>
        </w:rPr>
        <w:t xml:space="preserve">; </w:t>
      </w:r>
      <w:r w:rsidR="003E6633" w:rsidRPr="00E70CA5">
        <w:rPr>
          <w:rFonts w:ascii="Times New Roman" w:hAnsi="Times New Roman" w:cs="Times New Roman"/>
          <w:i/>
          <w:sz w:val="24"/>
          <w:szCs w:val="24"/>
        </w:rPr>
        <w:t>FLT3</w:t>
      </w:r>
      <w:r w:rsidR="003E6633" w:rsidRPr="00E70CA5">
        <w:rPr>
          <w:rFonts w:ascii="Times New Roman" w:hAnsi="Times New Roman" w:cs="Times New Roman"/>
          <w:sz w:val="24"/>
          <w:szCs w:val="24"/>
        </w:rPr>
        <w:t>, FMS-like tyrosine kinase 3.</w:t>
      </w:r>
    </w:p>
    <w:sectPr w:rsidR="00176E8C" w:rsidRPr="00176E8C" w:rsidSect="00EE736B"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F68B9" w14:textId="77777777" w:rsidR="003F2FF9" w:rsidRDefault="003F2FF9" w:rsidP="007E774A">
      <w:pPr>
        <w:spacing w:after="0" w:line="240" w:lineRule="auto"/>
      </w:pPr>
      <w:r>
        <w:separator/>
      </w:r>
    </w:p>
  </w:endnote>
  <w:endnote w:type="continuationSeparator" w:id="0">
    <w:p w14:paraId="1C136377" w14:textId="77777777" w:rsidR="003F2FF9" w:rsidRDefault="003F2FF9" w:rsidP="007E774A">
      <w:pPr>
        <w:spacing w:after="0" w:line="240" w:lineRule="auto"/>
      </w:pPr>
      <w:r>
        <w:continuationSeparator/>
      </w:r>
    </w:p>
  </w:endnote>
  <w:endnote w:type="continuationNotice" w:id="1">
    <w:p w14:paraId="35F891D7" w14:textId="77777777" w:rsidR="003F2FF9" w:rsidRDefault="003F2F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3931561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83097" w14:textId="43AD5213" w:rsidR="003F2FF9" w:rsidRPr="009A5E0D" w:rsidRDefault="003F2FF9" w:rsidP="001D36A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A5E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5E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A5E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0120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9A5E0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78072" w14:textId="77777777" w:rsidR="003F2FF9" w:rsidRDefault="003F2FF9" w:rsidP="007E774A">
      <w:pPr>
        <w:spacing w:after="0" w:line="240" w:lineRule="auto"/>
      </w:pPr>
      <w:r>
        <w:separator/>
      </w:r>
    </w:p>
  </w:footnote>
  <w:footnote w:type="continuationSeparator" w:id="0">
    <w:p w14:paraId="16E10EB9" w14:textId="77777777" w:rsidR="003F2FF9" w:rsidRDefault="003F2FF9" w:rsidP="007E774A">
      <w:pPr>
        <w:spacing w:after="0" w:line="240" w:lineRule="auto"/>
      </w:pPr>
      <w:r>
        <w:continuationSeparator/>
      </w:r>
    </w:p>
  </w:footnote>
  <w:footnote w:type="continuationNotice" w:id="1">
    <w:p w14:paraId="09558056" w14:textId="77777777" w:rsidR="003F2FF9" w:rsidRDefault="003F2FF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7539"/>
    <w:multiLevelType w:val="hybridMultilevel"/>
    <w:tmpl w:val="6BA8A8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472"/>
    <w:multiLevelType w:val="hybridMultilevel"/>
    <w:tmpl w:val="3E269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5184"/>
    <w:multiLevelType w:val="hybridMultilevel"/>
    <w:tmpl w:val="A3D6F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04499B"/>
    <w:multiLevelType w:val="hybridMultilevel"/>
    <w:tmpl w:val="BFBA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E4BE0"/>
    <w:multiLevelType w:val="hybridMultilevel"/>
    <w:tmpl w:val="186E89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457C42"/>
    <w:multiLevelType w:val="hybridMultilevel"/>
    <w:tmpl w:val="7E560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1053C"/>
    <w:multiLevelType w:val="hybridMultilevel"/>
    <w:tmpl w:val="C2245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A1EB1"/>
    <w:multiLevelType w:val="hybridMultilevel"/>
    <w:tmpl w:val="FFBE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B04AD"/>
    <w:multiLevelType w:val="hybridMultilevel"/>
    <w:tmpl w:val="181C4F3E"/>
    <w:lvl w:ilvl="0" w:tplc="F67EC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3D2A"/>
    <w:multiLevelType w:val="multilevel"/>
    <w:tmpl w:val="4FF867E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70"/>
        </w:tabs>
        <w:ind w:left="38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0C25997"/>
    <w:multiLevelType w:val="hybridMultilevel"/>
    <w:tmpl w:val="63B0E3E8"/>
    <w:lvl w:ilvl="0" w:tplc="57A615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227FF"/>
    <w:multiLevelType w:val="hybridMultilevel"/>
    <w:tmpl w:val="D41CC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44FBB"/>
    <w:multiLevelType w:val="hybridMultilevel"/>
    <w:tmpl w:val="E1200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F731EF"/>
    <w:multiLevelType w:val="hybridMultilevel"/>
    <w:tmpl w:val="F968A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D0BE8"/>
    <w:multiLevelType w:val="hybridMultilevel"/>
    <w:tmpl w:val="2A382A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0202D"/>
    <w:multiLevelType w:val="hybridMultilevel"/>
    <w:tmpl w:val="446EB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43A6A"/>
    <w:multiLevelType w:val="hybridMultilevel"/>
    <w:tmpl w:val="5932632C"/>
    <w:lvl w:ilvl="0" w:tplc="186437E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2435A"/>
    <w:multiLevelType w:val="hybridMultilevel"/>
    <w:tmpl w:val="246C995A"/>
    <w:lvl w:ilvl="0" w:tplc="ADE8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3AA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FAE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C26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8AAC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9410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EEF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6E4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58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B5C8B"/>
    <w:multiLevelType w:val="hybridMultilevel"/>
    <w:tmpl w:val="BF7EE534"/>
    <w:lvl w:ilvl="0" w:tplc="23083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B3BA6"/>
    <w:multiLevelType w:val="hybridMultilevel"/>
    <w:tmpl w:val="9604B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36E40"/>
    <w:multiLevelType w:val="hybridMultilevel"/>
    <w:tmpl w:val="CAB29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E504A"/>
    <w:multiLevelType w:val="hybridMultilevel"/>
    <w:tmpl w:val="78B07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2955F6"/>
    <w:multiLevelType w:val="hybridMultilevel"/>
    <w:tmpl w:val="2F902F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06AB2"/>
    <w:multiLevelType w:val="hybridMultilevel"/>
    <w:tmpl w:val="B8763C88"/>
    <w:lvl w:ilvl="0" w:tplc="D66A436A">
      <w:numFmt w:val="bullet"/>
      <w:lvlText w:val="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66527"/>
    <w:multiLevelType w:val="hybridMultilevel"/>
    <w:tmpl w:val="10B44A16"/>
    <w:lvl w:ilvl="0" w:tplc="6FDCE1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45049"/>
    <w:multiLevelType w:val="hybridMultilevel"/>
    <w:tmpl w:val="87D20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236AF"/>
    <w:multiLevelType w:val="hybridMultilevel"/>
    <w:tmpl w:val="A90CAF20"/>
    <w:lvl w:ilvl="0" w:tplc="5C9A11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917B7"/>
    <w:multiLevelType w:val="hybridMultilevel"/>
    <w:tmpl w:val="1660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31D0"/>
    <w:multiLevelType w:val="hybridMultilevel"/>
    <w:tmpl w:val="0972DC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615A24"/>
    <w:multiLevelType w:val="hybridMultilevel"/>
    <w:tmpl w:val="7ED657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037330"/>
    <w:multiLevelType w:val="hybridMultilevel"/>
    <w:tmpl w:val="A2B47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041A6"/>
    <w:multiLevelType w:val="hybridMultilevel"/>
    <w:tmpl w:val="9BF47E2C"/>
    <w:lvl w:ilvl="0" w:tplc="FF8C5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3045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450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12C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908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DE7E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24E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851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0A4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E00731"/>
    <w:multiLevelType w:val="hybridMultilevel"/>
    <w:tmpl w:val="226E2676"/>
    <w:lvl w:ilvl="0" w:tplc="C5E8EF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71585"/>
    <w:multiLevelType w:val="hybridMultilevel"/>
    <w:tmpl w:val="8AB6E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4B9B"/>
    <w:multiLevelType w:val="hybridMultilevel"/>
    <w:tmpl w:val="8DE64A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C1570B"/>
    <w:multiLevelType w:val="hybridMultilevel"/>
    <w:tmpl w:val="14044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74C6A"/>
    <w:multiLevelType w:val="hybridMultilevel"/>
    <w:tmpl w:val="67DAA2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663419FA"/>
    <w:multiLevelType w:val="hybridMultilevel"/>
    <w:tmpl w:val="7EDAE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C04E9"/>
    <w:multiLevelType w:val="hybridMultilevel"/>
    <w:tmpl w:val="E4CE50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2719E6"/>
    <w:multiLevelType w:val="hybridMultilevel"/>
    <w:tmpl w:val="3C027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6B6936"/>
    <w:multiLevelType w:val="hybridMultilevel"/>
    <w:tmpl w:val="3656DC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2D24EC"/>
    <w:multiLevelType w:val="hybridMultilevel"/>
    <w:tmpl w:val="4002F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3C02AB"/>
    <w:multiLevelType w:val="hybridMultilevel"/>
    <w:tmpl w:val="2766F10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798C51CC"/>
    <w:multiLevelType w:val="hybridMultilevel"/>
    <w:tmpl w:val="9A1A6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C288D"/>
    <w:multiLevelType w:val="hybridMultilevel"/>
    <w:tmpl w:val="BE622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7B1452"/>
    <w:multiLevelType w:val="hybridMultilevel"/>
    <w:tmpl w:val="6F00E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4"/>
  </w:num>
  <w:num w:numId="4">
    <w:abstractNumId w:val="7"/>
  </w:num>
  <w:num w:numId="5">
    <w:abstractNumId w:val="38"/>
  </w:num>
  <w:num w:numId="6">
    <w:abstractNumId w:val="28"/>
  </w:num>
  <w:num w:numId="7">
    <w:abstractNumId w:val="19"/>
  </w:num>
  <w:num w:numId="8">
    <w:abstractNumId w:val="1"/>
  </w:num>
  <w:num w:numId="9">
    <w:abstractNumId w:val="20"/>
  </w:num>
  <w:num w:numId="10">
    <w:abstractNumId w:val="5"/>
  </w:num>
  <w:num w:numId="11">
    <w:abstractNumId w:val="3"/>
  </w:num>
  <w:num w:numId="12">
    <w:abstractNumId w:val="43"/>
  </w:num>
  <w:num w:numId="13">
    <w:abstractNumId w:val="11"/>
  </w:num>
  <w:num w:numId="14">
    <w:abstractNumId w:val="37"/>
  </w:num>
  <w:num w:numId="15">
    <w:abstractNumId w:val="18"/>
  </w:num>
  <w:num w:numId="16">
    <w:abstractNumId w:val="39"/>
  </w:num>
  <w:num w:numId="17">
    <w:abstractNumId w:val="14"/>
  </w:num>
  <w:num w:numId="18">
    <w:abstractNumId w:val="9"/>
  </w:num>
  <w:num w:numId="19">
    <w:abstractNumId w:val="21"/>
  </w:num>
  <w:num w:numId="20">
    <w:abstractNumId w:val="30"/>
  </w:num>
  <w:num w:numId="21">
    <w:abstractNumId w:val="15"/>
  </w:num>
  <w:num w:numId="22">
    <w:abstractNumId w:val="36"/>
  </w:num>
  <w:num w:numId="23">
    <w:abstractNumId w:val="45"/>
  </w:num>
  <w:num w:numId="24">
    <w:abstractNumId w:val="12"/>
  </w:num>
  <w:num w:numId="25">
    <w:abstractNumId w:val="16"/>
  </w:num>
  <w:num w:numId="26">
    <w:abstractNumId w:val="2"/>
  </w:num>
  <w:num w:numId="27">
    <w:abstractNumId w:val="29"/>
  </w:num>
  <w:num w:numId="28">
    <w:abstractNumId w:val="4"/>
  </w:num>
  <w:num w:numId="29">
    <w:abstractNumId w:val="44"/>
  </w:num>
  <w:num w:numId="30">
    <w:abstractNumId w:val="40"/>
  </w:num>
  <w:num w:numId="31">
    <w:abstractNumId w:val="0"/>
  </w:num>
  <w:num w:numId="32">
    <w:abstractNumId w:val="35"/>
  </w:num>
  <w:num w:numId="33">
    <w:abstractNumId w:val="25"/>
  </w:num>
  <w:num w:numId="34">
    <w:abstractNumId w:val="27"/>
  </w:num>
  <w:num w:numId="35">
    <w:abstractNumId w:val="23"/>
  </w:num>
  <w:num w:numId="36">
    <w:abstractNumId w:val="33"/>
  </w:num>
  <w:num w:numId="37">
    <w:abstractNumId w:val="8"/>
  </w:num>
  <w:num w:numId="38">
    <w:abstractNumId w:val="26"/>
  </w:num>
  <w:num w:numId="39">
    <w:abstractNumId w:val="17"/>
  </w:num>
  <w:num w:numId="40">
    <w:abstractNumId w:val="31"/>
  </w:num>
  <w:num w:numId="41">
    <w:abstractNumId w:val="42"/>
  </w:num>
  <w:num w:numId="42">
    <w:abstractNumId w:val="6"/>
  </w:num>
  <w:num w:numId="43">
    <w:abstractNumId w:val="41"/>
  </w:num>
  <w:num w:numId="44">
    <w:abstractNumId w:val="32"/>
  </w:num>
  <w:num w:numId="45">
    <w:abstractNumId w:val="24"/>
  </w:num>
  <w:num w:numId="46">
    <w:abstractNumId w:val="13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linical On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955dep0cvv0a2erf5s52vsrd2fvxx9tf22s&quot;&gt;ONC&lt;record-ids&gt;&lt;item&gt;877&lt;/item&gt;&lt;item&gt;1279&lt;/item&gt;&lt;item&gt;1442&lt;/item&gt;&lt;item&gt;2677&lt;/item&gt;&lt;item&gt;14857&lt;/item&gt;&lt;item&gt;14858&lt;/item&gt;&lt;item&gt;14861&lt;/item&gt;&lt;item&gt;14889&lt;/item&gt;&lt;item&gt;14890&lt;/item&gt;&lt;item&gt;14893&lt;/item&gt;&lt;item&gt;14894&lt;/item&gt;&lt;item&gt;15120&lt;/item&gt;&lt;item&gt;15487&lt;/item&gt;&lt;item&gt;15489&lt;/item&gt;&lt;item&gt;15490&lt;/item&gt;&lt;item&gt;15513&lt;/item&gt;&lt;item&gt;15519&lt;/item&gt;&lt;item&gt;15522&lt;/item&gt;&lt;item&gt;15527&lt;/item&gt;&lt;item&gt;15607&lt;/item&gt;&lt;item&gt;15623&lt;/item&gt;&lt;item&gt;15781&lt;/item&gt;&lt;item&gt;15782&lt;/item&gt;&lt;item&gt;15783&lt;/item&gt;&lt;item&gt;15790&lt;/item&gt;&lt;item&gt;15791&lt;/item&gt;&lt;item&gt;15795&lt;/item&gt;&lt;item&gt;15797&lt;/item&gt;&lt;item&gt;15798&lt;/item&gt;&lt;item&gt;15847&lt;/item&gt;&lt;item&gt;15950&lt;/item&gt;&lt;item&gt;15951&lt;/item&gt;&lt;item&gt;15952&lt;/item&gt;&lt;/record-ids&gt;&lt;/item&gt;&lt;/Libraries&gt;"/>
  </w:docVars>
  <w:rsids>
    <w:rsidRoot w:val="00565A69"/>
    <w:rsid w:val="00000F22"/>
    <w:rsid w:val="00000F3D"/>
    <w:rsid w:val="000024D4"/>
    <w:rsid w:val="0000290F"/>
    <w:rsid w:val="00002C79"/>
    <w:rsid w:val="000038A3"/>
    <w:rsid w:val="000041EA"/>
    <w:rsid w:val="000048CE"/>
    <w:rsid w:val="00005985"/>
    <w:rsid w:val="00005DDD"/>
    <w:rsid w:val="000071DF"/>
    <w:rsid w:val="000079B1"/>
    <w:rsid w:val="0001041E"/>
    <w:rsid w:val="000107E8"/>
    <w:rsid w:val="0001205E"/>
    <w:rsid w:val="00012358"/>
    <w:rsid w:val="00014804"/>
    <w:rsid w:val="000156D4"/>
    <w:rsid w:val="00015966"/>
    <w:rsid w:val="0001688A"/>
    <w:rsid w:val="000200CB"/>
    <w:rsid w:val="000202CC"/>
    <w:rsid w:val="00020984"/>
    <w:rsid w:val="00022742"/>
    <w:rsid w:val="00023A09"/>
    <w:rsid w:val="00024B26"/>
    <w:rsid w:val="00024B6D"/>
    <w:rsid w:val="00025803"/>
    <w:rsid w:val="00025CD4"/>
    <w:rsid w:val="000263A5"/>
    <w:rsid w:val="00026699"/>
    <w:rsid w:val="00027634"/>
    <w:rsid w:val="00030E9A"/>
    <w:rsid w:val="00031B10"/>
    <w:rsid w:val="00031BC8"/>
    <w:rsid w:val="00031E34"/>
    <w:rsid w:val="000323FC"/>
    <w:rsid w:val="000336F7"/>
    <w:rsid w:val="0003400E"/>
    <w:rsid w:val="00034801"/>
    <w:rsid w:val="000348ED"/>
    <w:rsid w:val="00034FEB"/>
    <w:rsid w:val="00037B17"/>
    <w:rsid w:val="00041797"/>
    <w:rsid w:val="00045535"/>
    <w:rsid w:val="00045E4A"/>
    <w:rsid w:val="00045FE8"/>
    <w:rsid w:val="00046E2C"/>
    <w:rsid w:val="00047093"/>
    <w:rsid w:val="000474CE"/>
    <w:rsid w:val="00047947"/>
    <w:rsid w:val="00047D63"/>
    <w:rsid w:val="00050537"/>
    <w:rsid w:val="000507F3"/>
    <w:rsid w:val="00050D84"/>
    <w:rsid w:val="00051DEE"/>
    <w:rsid w:val="000524F1"/>
    <w:rsid w:val="000536C7"/>
    <w:rsid w:val="00053DD9"/>
    <w:rsid w:val="0005559F"/>
    <w:rsid w:val="00055C4C"/>
    <w:rsid w:val="000560BA"/>
    <w:rsid w:val="0005657D"/>
    <w:rsid w:val="0006027D"/>
    <w:rsid w:val="0006050A"/>
    <w:rsid w:val="0006099F"/>
    <w:rsid w:val="000614D9"/>
    <w:rsid w:val="000616CA"/>
    <w:rsid w:val="00061755"/>
    <w:rsid w:val="000628C0"/>
    <w:rsid w:val="000629F8"/>
    <w:rsid w:val="0006420A"/>
    <w:rsid w:val="00064A6B"/>
    <w:rsid w:val="00065307"/>
    <w:rsid w:val="00065AB3"/>
    <w:rsid w:val="00065F32"/>
    <w:rsid w:val="00066606"/>
    <w:rsid w:val="00066A11"/>
    <w:rsid w:val="00067814"/>
    <w:rsid w:val="00067E21"/>
    <w:rsid w:val="00071268"/>
    <w:rsid w:val="00071DB5"/>
    <w:rsid w:val="00072F2B"/>
    <w:rsid w:val="00073163"/>
    <w:rsid w:val="00074631"/>
    <w:rsid w:val="00075651"/>
    <w:rsid w:val="00075AFC"/>
    <w:rsid w:val="000769EF"/>
    <w:rsid w:val="00076E46"/>
    <w:rsid w:val="00076F19"/>
    <w:rsid w:val="00077BE1"/>
    <w:rsid w:val="00077D24"/>
    <w:rsid w:val="00080872"/>
    <w:rsid w:val="000815F8"/>
    <w:rsid w:val="00081D88"/>
    <w:rsid w:val="000823AD"/>
    <w:rsid w:val="00082A95"/>
    <w:rsid w:val="00085A1C"/>
    <w:rsid w:val="00085A41"/>
    <w:rsid w:val="00085BE4"/>
    <w:rsid w:val="00085E79"/>
    <w:rsid w:val="00086427"/>
    <w:rsid w:val="0008681D"/>
    <w:rsid w:val="00086CA4"/>
    <w:rsid w:val="00086DF5"/>
    <w:rsid w:val="00087400"/>
    <w:rsid w:val="00090BB2"/>
    <w:rsid w:val="0009153C"/>
    <w:rsid w:val="00091792"/>
    <w:rsid w:val="00091D01"/>
    <w:rsid w:val="000922E0"/>
    <w:rsid w:val="00092AB3"/>
    <w:rsid w:val="000937E6"/>
    <w:rsid w:val="000937E7"/>
    <w:rsid w:val="00093865"/>
    <w:rsid w:val="00096B25"/>
    <w:rsid w:val="00096F59"/>
    <w:rsid w:val="00097D9A"/>
    <w:rsid w:val="000A0BC7"/>
    <w:rsid w:val="000A1025"/>
    <w:rsid w:val="000A2FDB"/>
    <w:rsid w:val="000A31CF"/>
    <w:rsid w:val="000A34CF"/>
    <w:rsid w:val="000A35AA"/>
    <w:rsid w:val="000A4782"/>
    <w:rsid w:val="000A4805"/>
    <w:rsid w:val="000A4B3B"/>
    <w:rsid w:val="000A759C"/>
    <w:rsid w:val="000A7BB1"/>
    <w:rsid w:val="000B0D53"/>
    <w:rsid w:val="000B228D"/>
    <w:rsid w:val="000B302F"/>
    <w:rsid w:val="000B4DE3"/>
    <w:rsid w:val="000B52B0"/>
    <w:rsid w:val="000B553B"/>
    <w:rsid w:val="000B56E4"/>
    <w:rsid w:val="000C050A"/>
    <w:rsid w:val="000C0C36"/>
    <w:rsid w:val="000C1191"/>
    <w:rsid w:val="000C1922"/>
    <w:rsid w:val="000C304A"/>
    <w:rsid w:val="000C3FA9"/>
    <w:rsid w:val="000C44CA"/>
    <w:rsid w:val="000C4B9E"/>
    <w:rsid w:val="000C567E"/>
    <w:rsid w:val="000C7409"/>
    <w:rsid w:val="000C7FB7"/>
    <w:rsid w:val="000D3311"/>
    <w:rsid w:val="000D3F1C"/>
    <w:rsid w:val="000D4435"/>
    <w:rsid w:val="000D44BD"/>
    <w:rsid w:val="000D4ECD"/>
    <w:rsid w:val="000D511E"/>
    <w:rsid w:val="000D5438"/>
    <w:rsid w:val="000D568E"/>
    <w:rsid w:val="000D5691"/>
    <w:rsid w:val="000D67B6"/>
    <w:rsid w:val="000D6EA3"/>
    <w:rsid w:val="000D7646"/>
    <w:rsid w:val="000E0906"/>
    <w:rsid w:val="000E0D20"/>
    <w:rsid w:val="000E0EC3"/>
    <w:rsid w:val="000E1256"/>
    <w:rsid w:val="000E1320"/>
    <w:rsid w:val="000E20DA"/>
    <w:rsid w:val="000E3E5D"/>
    <w:rsid w:val="000E42A8"/>
    <w:rsid w:val="000E487D"/>
    <w:rsid w:val="000E48EE"/>
    <w:rsid w:val="000E5673"/>
    <w:rsid w:val="000E7277"/>
    <w:rsid w:val="000E757B"/>
    <w:rsid w:val="000F0033"/>
    <w:rsid w:val="000F045E"/>
    <w:rsid w:val="000F2EF5"/>
    <w:rsid w:val="000F36B0"/>
    <w:rsid w:val="000F4ABA"/>
    <w:rsid w:val="000F4ACF"/>
    <w:rsid w:val="000F5121"/>
    <w:rsid w:val="000F5160"/>
    <w:rsid w:val="000F5678"/>
    <w:rsid w:val="000F59D0"/>
    <w:rsid w:val="00100E57"/>
    <w:rsid w:val="00101E42"/>
    <w:rsid w:val="00101F1D"/>
    <w:rsid w:val="00106183"/>
    <w:rsid w:val="001066B3"/>
    <w:rsid w:val="00112E2A"/>
    <w:rsid w:val="0011499E"/>
    <w:rsid w:val="001238D4"/>
    <w:rsid w:val="0012420D"/>
    <w:rsid w:val="00124B79"/>
    <w:rsid w:val="00124C39"/>
    <w:rsid w:val="00125C89"/>
    <w:rsid w:val="00125DC9"/>
    <w:rsid w:val="001260EC"/>
    <w:rsid w:val="001264D3"/>
    <w:rsid w:val="00126DEA"/>
    <w:rsid w:val="00127174"/>
    <w:rsid w:val="00127F62"/>
    <w:rsid w:val="00127FDC"/>
    <w:rsid w:val="0013020A"/>
    <w:rsid w:val="00130BAC"/>
    <w:rsid w:val="001323A0"/>
    <w:rsid w:val="001336CA"/>
    <w:rsid w:val="00135B31"/>
    <w:rsid w:val="00135FFF"/>
    <w:rsid w:val="00136313"/>
    <w:rsid w:val="00136594"/>
    <w:rsid w:val="001365AC"/>
    <w:rsid w:val="00141D0E"/>
    <w:rsid w:val="00142CBD"/>
    <w:rsid w:val="00142D45"/>
    <w:rsid w:val="00142ECE"/>
    <w:rsid w:val="00143ED8"/>
    <w:rsid w:val="00144146"/>
    <w:rsid w:val="00144FD7"/>
    <w:rsid w:val="001453CB"/>
    <w:rsid w:val="0014573D"/>
    <w:rsid w:val="00145B51"/>
    <w:rsid w:val="00146A29"/>
    <w:rsid w:val="00147B48"/>
    <w:rsid w:val="0015255B"/>
    <w:rsid w:val="0015265B"/>
    <w:rsid w:val="00152CC9"/>
    <w:rsid w:val="001536AE"/>
    <w:rsid w:val="001554A4"/>
    <w:rsid w:val="00156B6B"/>
    <w:rsid w:val="00160608"/>
    <w:rsid w:val="001606F6"/>
    <w:rsid w:val="001611D1"/>
    <w:rsid w:val="00161751"/>
    <w:rsid w:val="00161DA7"/>
    <w:rsid w:val="00163D1B"/>
    <w:rsid w:val="00163E2B"/>
    <w:rsid w:val="001652AE"/>
    <w:rsid w:val="00165B83"/>
    <w:rsid w:val="00165FCD"/>
    <w:rsid w:val="00166771"/>
    <w:rsid w:val="00166A4A"/>
    <w:rsid w:val="00166C5D"/>
    <w:rsid w:val="00167570"/>
    <w:rsid w:val="001677F6"/>
    <w:rsid w:val="00170889"/>
    <w:rsid w:val="00171514"/>
    <w:rsid w:val="00171C9F"/>
    <w:rsid w:val="00171D63"/>
    <w:rsid w:val="001721D3"/>
    <w:rsid w:val="00172F2C"/>
    <w:rsid w:val="001741BD"/>
    <w:rsid w:val="0017648C"/>
    <w:rsid w:val="0017680E"/>
    <w:rsid w:val="0017686E"/>
    <w:rsid w:val="00176D5C"/>
    <w:rsid w:val="00176E8C"/>
    <w:rsid w:val="00177A1B"/>
    <w:rsid w:val="001804F5"/>
    <w:rsid w:val="00181C62"/>
    <w:rsid w:val="001825B0"/>
    <w:rsid w:val="001840C2"/>
    <w:rsid w:val="00185CB9"/>
    <w:rsid w:val="00185FFE"/>
    <w:rsid w:val="00186ABE"/>
    <w:rsid w:val="00187079"/>
    <w:rsid w:val="001904C2"/>
    <w:rsid w:val="00191155"/>
    <w:rsid w:val="00191D61"/>
    <w:rsid w:val="00192AE3"/>
    <w:rsid w:val="00192C15"/>
    <w:rsid w:val="001936A7"/>
    <w:rsid w:val="00193749"/>
    <w:rsid w:val="00193E62"/>
    <w:rsid w:val="0019414D"/>
    <w:rsid w:val="00194F51"/>
    <w:rsid w:val="001958E9"/>
    <w:rsid w:val="00195F32"/>
    <w:rsid w:val="00196AE8"/>
    <w:rsid w:val="001971E4"/>
    <w:rsid w:val="001A0441"/>
    <w:rsid w:val="001A04CD"/>
    <w:rsid w:val="001A1E51"/>
    <w:rsid w:val="001A2F6E"/>
    <w:rsid w:val="001A399D"/>
    <w:rsid w:val="001A5EF8"/>
    <w:rsid w:val="001A62F0"/>
    <w:rsid w:val="001A6856"/>
    <w:rsid w:val="001A74A0"/>
    <w:rsid w:val="001B037B"/>
    <w:rsid w:val="001B27DF"/>
    <w:rsid w:val="001B28AC"/>
    <w:rsid w:val="001B341F"/>
    <w:rsid w:val="001B389D"/>
    <w:rsid w:val="001B41EC"/>
    <w:rsid w:val="001B42E1"/>
    <w:rsid w:val="001B68C0"/>
    <w:rsid w:val="001B69A7"/>
    <w:rsid w:val="001B72EE"/>
    <w:rsid w:val="001C1429"/>
    <w:rsid w:val="001C1610"/>
    <w:rsid w:val="001C229C"/>
    <w:rsid w:val="001C382F"/>
    <w:rsid w:val="001C6F9D"/>
    <w:rsid w:val="001C7216"/>
    <w:rsid w:val="001C7D1C"/>
    <w:rsid w:val="001C7D4F"/>
    <w:rsid w:val="001D0A2F"/>
    <w:rsid w:val="001D0F77"/>
    <w:rsid w:val="001D14A9"/>
    <w:rsid w:val="001D1A82"/>
    <w:rsid w:val="001D1DFC"/>
    <w:rsid w:val="001D1E0B"/>
    <w:rsid w:val="001D1F1D"/>
    <w:rsid w:val="001D2D30"/>
    <w:rsid w:val="001D36AA"/>
    <w:rsid w:val="001D64D6"/>
    <w:rsid w:val="001D715C"/>
    <w:rsid w:val="001E0F03"/>
    <w:rsid w:val="001E1369"/>
    <w:rsid w:val="001E234F"/>
    <w:rsid w:val="001E2571"/>
    <w:rsid w:val="001E3012"/>
    <w:rsid w:val="001E4E9F"/>
    <w:rsid w:val="001E557D"/>
    <w:rsid w:val="001E5D36"/>
    <w:rsid w:val="001E65A9"/>
    <w:rsid w:val="001E6957"/>
    <w:rsid w:val="001E6973"/>
    <w:rsid w:val="001E6BFC"/>
    <w:rsid w:val="001E734E"/>
    <w:rsid w:val="001F0E2A"/>
    <w:rsid w:val="001F2161"/>
    <w:rsid w:val="001F21F4"/>
    <w:rsid w:val="001F2290"/>
    <w:rsid w:val="001F3F90"/>
    <w:rsid w:val="001F5545"/>
    <w:rsid w:val="001F6D82"/>
    <w:rsid w:val="001F7409"/>
    <w:rsid w:val="001F7785"/>
    <w:rsid w:val="001F7C9B"/>
    <w:rsid w:val="001F7D8B"/>
    <w:rsid w:val="0020015C"/>
    <w:rsid w:val="00200470"/>
    <w:rsid w:val="002010DD"/>
    <w:rsid w:val="0020158F"/>
    <w:rsid w:val="002037DA"/>
    <w:rsid w:val="0020405A"/>
    <w:rsid w:val="0020443F"/>
    <w:rsid w:val="00204DD3"/>
    <w:rsid w:val="0020718D"/>
    <w:rsid w:val="002073B9"/>
    <w:rsid w:val="00210F7C"/>
    <w:rsid w:val="00212B13"/>
    <w:rsid w:val="0021369D"/>
    <w:rsid w:val="002137F2"/>
    <w:rsid w:val="00213FA8"/>
    <w:rsid w:val="002145BD"/>
    <w:rsid w:val="0021582A"/>
    <w:rsid w:val="00216234"/>
    <w:rsid w:val="00217EA3"/>
    <w:rsid w:val="002205BA"/>
    <w:rsid w:val="00221B2B"/>
    <w:rsid w:val="0022555E"/>
    <w:rsid w:val="002255DF"/>
    <w:rsid w:val="00225875"/>
    <w:rsid w:val="00225F31"/>
    <w:rsid w:val="00226F6F"/>
    <w:rsid w:val="00227A08"/>
    <w:rsid w:val="00227B80"/>
    <w:rsid w:val="0023038E"/>
    <w:rsid w:val="002307E3"/>
    <w:rsid w:val="00230A8C"/>
    <w:rsid w:val="002327A7"/>
    <w:rsid w:val="00232924"/>
    <w:rsid w:val="002339D1"/>
    <w:rsid w:val="00233BE9"/>
    <w:rsid w:val="00235DF5"/>
    <w:rsid w:val="00240062"/>
    <w:rsid w:val="00240B04"/>
    <w:rsid w:val="00241574"/>
    <w:rsid w:val="0024175E"/>
    <w:rsid w:val="00241BCF"/>
    <w:rsid w:val="00242787"/>
    <w:rsid w:val="00242EBC"/>
    <w:rsid w:val="002431FF"/>
    <w:rsid w:val="00243550"/>
    <w:rsid w:val="002437CE"/>
    <w:rsid w:val="0024381D"/>
    <w:rsid w:val="002442F7"/>
    <w:rsid w:val="002456D4"/>
    <w:rsid w:val="00245A4F"/>
    <w:rsid w:val="002462DE"/>
    <w:rsid w:val="00247703"/>
    <w:rsid w:val="00251A9B"/>
    <w:rsid w:val="0025244C"/>
    <w:rsid w:val="00252DCD"/>
    <w:rsid w:val="00254161"/>
    <w:rsid w:val="00257CF8"/>
    <w:rsid w:val="00257E76"/>
    <w:rsid w:val="00260951"/>
    <w:rsid w:val="00261265"/>
    <w:rsid w:val="00261DC6"/>
    <w:rsid w:val="00262085"/>
    <w:rsid w:val="002630F8"/>
    <w:rsid w:val="002636BB"/>
    <w:rsid w:val="00263924"/>
    <w:rsid w:val="00263A35"/>
    <w:rsid w:val="0026445E"/>
    <w:rsid w:val="00264B45"/>
    <w:rsid w:val="00264B9D"/>
    <w:rsid w:val="002667BB"/>
    <w:rsid w:val="00267BE8"/>
    <w:rsid w:val="002706DC"/>
    <w:rsid w:val="00270A6C"/>
    <w:rsid w:val="00270C2E"/>
    <w:rsid w:val="00271B60"/>
    <w:rsid w:val="00273C89"/>
    <w:rsid w:val="00273E31"/>
    <w:rsid w:val="0027403E"/>
    <w:rsid w:val="00274180"/>
    <w:rsid w:val="00274DD2"/>
    <w:rsid w:val="00275351"/>
    <w:rsid w:val="00277F01"/>
    <w:rsid w:val="00282CCF"/>
    <w:rsid w:val="00285380"/>
    <w:rsid w:val="00285C29"/>
    <w:rsid w:val="002868A9"/>
    <w:rsid w:val="00286E86"/>
    <w:rsid w:val="002909BD"/>
    <w:rsid w:val="00292B14"/>
    <w:rsid w:val="00293910"/>
    <w:rsid w:val="00294270"/>
    <w:rsid w:val="00294A8C"/>
    <w:rsid w:val="00294E8E"/>
    <w:rsid w:val="0029519E"/>
    <w:rsid w:val="0029681C"/>
    <w:rsid w:val="00297507"/>
    <w:rsid w:val="00297892"/>
    <w:rsid w:val="002A04B7"/>
    <w:rsid w:val="002A0E1E"/>
    <w:rsid w:val="002A192C"/>
    <w:rsid w:val="002A20A4"/>
    <w:rsid w:val="002A20B2"/>
    <w:rsid w:val="002A438A"/>
    <w:rsid w:val="002A5869"/>
    <w:rsid w:val="002B0527"/>
    <w:rsid w:val="002B179B"/>
    <w:rsid w:val="002B1B3D"/>
    <w:rsid w:val="002B2F01"/>
    <w:rsid w:val="002B301C"/>
    <w:rsid w:val="002B3DE8"/>
    <w:rsid w:val="002B45A3"/>
    <w:rsid w:val="002B4612"/>
    <w:rsid w:val="002B595C"/>
    <w:rsid w:val="002B5CB4"/>
    <w:rsid w:val="002B7DF3"/>
    <w:rsid w:val="002C11E0"/>
    <w:rsid w:val="002C1430"/>
    <w:rsid w:val="002C19C1"/>
    <w:rsid w:val="002C3123"/>
    <w:rsid w:val="002C4C15"/>
    <w:rsid w:val="002C6523"/>
    <w:rsid w:val="002C6C78"/>
    <w:rsid w:val="002D0BE7"/>
    <w:rsid w:val="002D1E05"/>
    <w:rsid w:val="002D34FE"/>
    <w:rsid w:val="002D4859"/>
    <w:rsid w:val="002D5139"/>
    <w:rsid w:val="002D5210"/>
    <w:rsid w:val="002D5982"/>
    <w:rsid w:val="002D5B31"/>
    <w:rsid w:val="002D7992"/>
    <w:rsid w:val="002E10B3"/>
    <w:rsid w:val="002E10CD"/>
    <w:rsid w:val="002E1108"/>
    <w:rsid w:val="002E15B5"/>
    <w:rsid w:val="002E1D66"/>
    <w:rsid w:val="002E1F92"/>
    <w:rsid w:val="002E4B1A"/>
    <w:rsid w:val="002E5DED"/>
    <w:rsid w:val="002E5ECF"/>
    <w:rsid w:val="002E6209"/>
    <w:rsid w:val="002E6F66"/>
    <w:rsid w:val="002E6F7D"/>
    <w:rsid w:val="002E77FC"/>
    <w:rsid w:val="002F04DB"/>
    <w:rsid w:val="002F144A"/>
    <w:rsid w:val="002F2622"/>
    <w:rsid w:val="002F2A21"/>
    <w:rsid w:val="002F3895"/>
    <w:rsid w:val="002F6066"/>
    <w:rsid w:val="002F7430"/>
    <w:rsid w:val="002F7BFD"/>
    <w:rsid w:val="003005E4"/>
    <w:rsid w:val="00303890"/>
    <w:rsid w:val="00303C6A"/>
    <w:rsid w:val="00304C15"/>
    <w:rsid w:val="00304EAD"/>
    <w:rsid w:val="00306255"/>
    <w:rsid w:val="00306DD4"/>
    <w:rsid w:val="00307DEA"/>
    <w:rsid w:val="003102DC"/>
    <w:rsid w:val="003106AB"/>
    <w:rsid w:val="00310971"/>
    <w:rsid w:val="00310B4F"/>
    <w:rsid w:val="003110C2"/>
    <w:rsid w:val="003111BA"/>
    <w:rsid w:val="00311AC7"/>
    <w:rsid w:val="00311BA2"/>
    <w:rsid w:val="00311CD0"/>
    <w:rsid w:val="00312CAA"/>
    <w:rsid w:val="0031403E"/>
    <w:rsid w:val="00314D41"/>
    <w:rsid w:val="003155AA"/>
    <w:rsid w:val="00315EF6"/>
    <w:rsid w:val="003205DF"/>
    <w:rsid w:val="00320EB2"/>
    <w:rsid w:val="003229C5"/>
    <w:rsid w:val="00323DBB"/>
    <w:rsid w:val="00323EB1"/>
    <w:rsid w:val="00324494"/>
    <w:rsid w:val="00324599"/>
    <w:rsid w:val="00325279"/>
    <w:rsid w:val="0032647B"/>
    <w:rsid w:val="003264B9"/>
    <w:rsid w:val="00330142"/>
    <w:rsid w:val="00330BB7"/>
    <w:rsid w:val="0033285E"/>
    <w:rsid w:val="00332F77"/>
    <w:rsid w:val="003346B1"/>
    <w:rsid w:val="00334E2B"/>
    <w:rsid w:val="00336BFF"/>
    <w:rsid w:val="00340CAD"/>
    <w:rsid w:val="00340E90"/>
    <w:rsid w:val="003414FB"/>
    <w:rsid w:val="0034373B"/>
    <w:rsid w:val="00346B29"/>
    <w:rsid w:val="0035044A"/>
    <w:rsid w:val="00350AEB"/>
    <w:rsid w:val="00351365"/>
    <w:rsid w:val="00351460"/>
    <w:rsid w:val="00352451"/>
    <w:rsid w:val="00354696"/>
    <w:rsid w:val="00354B46"/>
    <w:rsid w:val="00355305"/>
    <w:rsid w:val="00355640"/>
    <w:rsid w:val="00356DFD"/>
    <w:rsid w:val="003573EC"/>
    <w:rsid w:val="00357B54"/>
    <w:rsid w:val="00357FC0"/>
    <w:rsid w:val="0036019B"/>
    <w:rsid w:val="00361111"/>
    <w:rsid w:val="00361818"/>
    <w:rsid w:val="00361A68"/>
    <w:rsid w:val="00361D2F"/>
    <w:rsid w:val="0036200B"/>
    <w:rsid w:val="00363C30"/>
    <w:rsid w:val="00363F12"/>
    <w:rsid w:val="00364514"/>
    <w:rsid w:val="00364F7F"/>
    <w:rsid w:val="003651F7"/>
    <w:rsid w:val="003656C5"/>
    <w:rsid w:val="00365CCB"/>
    <w:rsid w:val="00365F29"/>
    <w:rsid w:val="0036719E"/>
    <w:rsid w:val="003719ED"/>
    <w:rsid w:val="00371BF0"/>
    <w:rsid w:val="003732C2"/>
    <w:rsid w:val="00373B64"/>
    <w:rsid w:val="00374524"/>
    <w:rsid w:val="0037466D"/>
    <w:rsid w:val="003746DA"/>
    <w:rsid w:val="00375CF4"/>
    <w:rsid w:val="00377085"/>
    <w:rsid w:val="003772B8"/>
    <w:rsid w:val="00377AA6"/>
    <w:rsid w:val="003805C5"/>
    <w:rsid w:val="00381F4E"/>
    <w:rsid w:val="00383029"/>
    <w:rsid w:val="0038379C"/>
    <w:rsid w:val="00384651"/>
    <w:rsid w:val="00384EA5"/>
    <w:rsid w:val="003869AA"/>
    <w:rsid w:val="00386FB8"/>
    <w:rsid w:val="00387531"/>
    <w:rsid w:val="00390284"/>
    <w:rsid w:val="00390969"/>
    <w:rsid w:val="00390D11"/>
    <w:rsid w:val="0039441B"/>
    <w:rsid w:val="00395EF4"/>
    <w:rsid w:val="003968E2"/>
    <w:rsid w:val="00397091"/>
    <w:rsid w:val="00397AF6"/>
    <w:rsid w:val="003A0298"/>
    <w:rsid w:val="003A1603"/>
    <w:rsid w:val="003A2272"/>
    <w:rsid w:val="003A3A26"/>
    <w:rsid w:val="003A3B32"/>
    <w:rsid w:val="003A42DA"/>
    <w:rsid w:val="003A48B8"/>
    <w:rsid w:val="003A4C7C"/>
    <w:rsid w:val="003A541B"/>
    <w:rsid w:val="003A77D5"/>
    <w:rsid w:val="003B109F"/>
    <w:rsid w:val="003B13D3"/>
    <w:rsid w:val="003B3A06"/>
    <w:rsid w:val="003B45CF"/>
    <w:rsid w:val="003B56FD"/>
    <w:rsid w:val="003B5777"/>
    <w:rsid w:val="003B58EA"/>
    <w:rsid w:val="003B59C5"/>
    <w:rsid w:val="003B5D18"/>
    <w:rsid w:val="003B7B3B"/>
    <w:rsid w:val="003B7F34"/>
    <w:rsid w:val="003C0A28"/>
    <w:rsid w:val="003C1499"/>
    <w:rsid w:val="003C180B"/>
    <w:rsid w:val="003C27B9"/>
    <w:rsid w:val="003C2C9C"/>
    <w:rsid w:val="003C339E"/>
    <w:rsid w:val="003C3C8E"/>
    <w:rsid w:val="003C3F86"/>
    <w:rsid w:val="003C46A7"/>
    <w:rsid w:val="003C68D9"/>
    <w:rsid w:val="003C7DF7"/>
    <w:rsid w:val="003D03A4"/>
    <w:rsid w:val="003D184D"/>
    <w:rsid w:val="003D2C4D"/>
    <w:rsid w:val="003D32A6"/>
    <w:rsid w:val="003D3D77"/>
    <w:rsid w:val="003D5103"/>
    <w:rsid w:val="003D5CA5"/>
    <w:rsid w:val="003D5F57"/>
    <w:rsid w:val="003D6A9D"/>
    <w:rsid w:val="003D73A0"/>
    <w:rsid w:val="003D74FE"/>
    <w:rsid w:val="003E0120"/>
    <w:rsid w:val="003E0C28"/>
    <w:rsid w:val="003E15E9"/>
    <w:rsid w:val="003E17CB"/>
    <w:rsid w:val="003E2427"/>
    <w:rsid w:val="003E342D"/>
    <w:rsid w:val="003E36A0"/>
    <w:rsid w:val="003E3E8D"/>
    <w:rsid w:val="003E4302"/>
    <w:rsid w:val="003E4664"/>
    <w:rsid w:val="003E4BBF"/>
    <w:rsid w:val="003E4D12"/>
    <w:rsid w:val="003E50D8"/>
    <w:rsid w:val="003E5628"/>
    <w:rsid w:val="003E61CF"/>
    <w:rsid w:val="003E6633"/>
    <w:rsid w:val="003E67D9"/>
    <w:rsid w:val="003E7AE3"/>
    <w:rsid w:val="003F080C"/>
    <w:rsid w:val="003F15CA"/>
    <w:rsid w:val="003F19F1"/>
    <w:rsid w:val="003F288D"/>
    <w:rsid w:val="003F2A86"/>
    <w:rsid w:val="003F2D11"/>
    <w:rsid w:val="003F2FF9"/>
    <w:rsid w:val="003F34B9"/>
    <w:rsid w:val="003F3C92"/>
    <w:rsid w:val="003F68FE"/>
    <w:rsid w:val="003F7C50"/>
    <w:rsid w:val="00400292"/>
    <w:rsid w:val="00401A13"/>
    <w:rsid w:val="0040418B"/>
    <w:rsid w:val="00404315"/>
    <w:rsid w:val="004050DB"/>
    <w:rsid w:val="004055A5"/>
    <w:rsid w:val="004056C2"/>
    <w:rsid w:val="00405901"/>
    <w:rsid w:val="00405A11"/>
    <w:rsid w:val="00405E71"/>
    <w:rsid w:val="00406600"/>
    <w:rsid w:val="00406BF9"/>
    <w:rsid w:val="00407417"/>
    <w:rsid w:val="004113B2"/>
    <w:rsid w:val="00411EC3"/>
    <w:rsid w:val="00413A7D"/>
    <w:rsid w:val="00413C9B"/>
    <w:rsid w:val="00414258"/>
    <w:rsid w:val="004164ED"/>
    <w:rsid w:val="00421512"/>
    <w:rsid w:val="00421F8E"/>
    <w:rsid w:val="00422C7E"/>
    <w:rsid w:val="00424BCF"/>
    <w:rsid w:val="00425754"/>
    <w:rsid w:val="00425827"/>
    <w:rsid w:val="00426691"/>
    <w:rsid w:val="004276AD"/>
    <w:rsid w:val="00430DD0"/>
    <w:rsid w:val="00431D3B"/>
    <w:rsid w:val="00433073"/>
    <w:rsid w:val="00434740"/>
    <w:rsid w:val="00436264"/>
    <w:rsid w:val="00436391"/>
    <w:rsid w:val="00436930"/>
    <w:rsid w:val="00440FDC"/>
    <w:rsid w:val="00441A38"/>
    <w:rsid w:val="00442AF9"/>
    <w:rsid w:val="0044321B"/>
    <w:rsid w:val="00443E16"/>
    <w:rsid w:val="00444D24"/>
    <w:rsid w:val="004478C4"/>
    <w:rsid w:val="00450777"/>
    <w:rsid w:val="00451031"/>
    <w:rsid w:val="004511F4"/>
    <w:rsid w:val="00451BA1"/>
    <w:rsid w:val="00452CD1"/>
    <w:rsid w:val="0045340C"/>
    <w:rsid w:val="00454609"/>
    <w:rsid w:val="004546D9"/>
    <w:rsid w:val="00456200"/>
    <w:rsid w:val="00457B21"/>
    <w:rsid w:val="00457F57"/>
    <w:rsid w:val="004600E0"/>
    <w:rsid w:val="0046033B"/>
    <w:rsid w:val="00461990"/>
    <w:rsid w:val="00463D35"/>
    <w:rsid w:val="004643CF"/>
    <w:rsid w:val="0046552D"/>
    <w:rsid w:val="0046730E"/>
    <w:rsid w:val="004675CF"/>
    <w:rsid w:val="00467759"/>
    <w:rsid w:val="00472C49"/>
    <w:rsid w:val="00473008"/>
    <w:rsid w:val="004733CF"/>
    <w:rsid w:val="004734C7"/>
    <w:rsid w:val="00473F87"/>
    <w:rsid w:val="00474648"/>
    <w:rsid w:val="00474D81"/>
    <w:rsid w:val="00474DB0"/>
    <w:rsid w:val="00476EB2"/>
    <w:rsid w:val="004773B3"/>
    <w:rsid w:val="0048054F"/>
    <w:rsid w:val="00480ADC"/>
    <w:rsid w:val="00481C47"/>
    <w:rsid w:val="004832E9"/>
    <w:rsid w:val="0048426F"/>
    <w:rsid w:val="004844F6"/>
    <w:rsid w:val="004852A4"/>
    <w:rsid w:val="0048651E"/>
    <w:rsid w:val="00487899"/>
    <w:rsid w:val="004918FF"/>
    <w:rsid w:val="00491DE6"/>
    <w:rsid w:val="00492401"/>
    <w:rsid w:val="0049284E"/>
    <w:rsid w:val="004931B2"/>
    <w:rsid w:val="004934E2"/>
    <w:rsid w:val="00493AEE"/>
    <w:rsid w:val="00493ECE"/>
    <w:rsid w:val="00495344"/>
    <w:rsid w:val="00495E13"/>
    <w:rsid w:val="004A0706"/>
    <w:rsid w:val="004A1019"/>
    <w:rsid w:val="004A10E5"/>
    <w:rsid w:val="004A3655"/>
    <w:rsid w:val="004A4471"/>
    <w:rsid w:val="004A6803"/>
    <w:rsid w:val="004A6D72"/>
    <w:rsid w:val="004A6E9E"/>
    <w:rsid w:val="004A7557"/>
    <w:rsid w:val="004A7E0E"/>
    <w:rsid w:val="004B02D0"/>
    <w:rsid w:val="004B0A8E"/>
    <w:rsid w:val="004B2510"/>
    <w:rsid w:val="004B40DD"/>
    <w:rsid w:val="004B4253"/>
    <w:rsid w:val="004B499A"/>
    <w:rsid w:val="004B4A05"/>
    <w:rsid w:val="004B5277"/>
    <w:rsid w:val="004B5472"/>
    <w:rsid w:val="004B668A"/>
    <w:rsid w:val="004B7C8B"/>
    <w:rsid w:val="004C05F1"/>
    <w:rsid w:val="004C0AF3"/>
    <w:rsid w:val="004C10E3"/>
    <w:rsid w:val="004C34C6"/>
    <w:rsid w:val="004C3CF2"/>
    <w:rsid w:val="004C57A2"/>
    <w:rsid w:val="004C6328"/>
    <w:rsid w:val="004C7DFE"/>
    <w:rsid w:val="004D10E9"/>
    <w:rsid w:val="004D131C"/>
    <w:rsid w:val="004D1564"/>
    <w:rsid w:val="004D196D"/>
    <w:rsid w:val="004D1E7A"/>
    <w:rsid w:val="004D1F9D"/>
    <w:rsid w:val="004D3935"/>
    <w:rsid w:val="004D51E4"/>
    <w:rsid w:val="004D5A9C"/>
    <w:rsid w:val="004D761C"/>
    <w:rsid w:val="004E23C4"/>
    <w:rsid w:val="004E270D"/>
    <w:rsid w:val="004E2F01"/>
    <w:rsid w:val="004E3A47"/>
    <w:rsid w:val="004E46FB"/>
    <w:rsid w:val="004E54CC"/>
    <w:rsid w:val="004E6648"/>
    <w:rsid w:val="004E7DED"/>
    <w:rsid w:val="004F0370"/>
    <w:rsid w:val="004F0D20"/>
    <w:rsid w:val="004F0F50"/>
    <w:rsid w:val="004F1B3C"/>
    <w:rsid w:val="004F261D"/>
    <w:rsid w:val="004F2915"/>
    <w:rsid w:val="004F35A0"/>
    <w:rsid w:val="004F381D"/>
    <w:rsid w:val="004F3E6C"/>
    <w:rsid w:val="004F4CD8"/>
    <w:rsid w:val="004F5916"/>
    <w:rsid w:val="00500DFB"/>
    <w:rsid w:val="00503056"/>
    <w:rsid w:val="00503ACD"/>
    <w:rsid w:val="00503C81"/>
    <w:rsid w:val="00504BF1"/>
    <w:rsid w:val="00505176"/>
    <w:rsid w:val="00505CB9"/>
    <w:rsid w:val="005072D4"/>
    <w:rsid w:val="00510DC8"/>
    <w:rsid w:val="00511753"/>
    <w:rsid w:val="00511AD2"/>
    <w:rsid w:val="0051285A"/>
    <w:rsid w:val="00514CA7"/>
    <w:rsid w:val="00515893"/>
    <w:rsid w:val="0051601B"/>
    <w:rsid w:val="00516B44"/>
    <w:rsid w:val="00516F6C"/>
    <w:rsid w:val="00517F38"/>
    <w:rsid w:val="0052035A"/>
    <w:rsid w:val="0052175B"/>
    <w:rsid w:val="00521D41"/>
    <w:rsid w:val="005222EA"/>
    <w:rsid w:val="00522380"/>
    <w:rsid w:val="00522C3C"/>
    <w:rsid w:val="00522CF9"/>
    <w:rsid w:val="00524366"/>
    <w:rsid w:val="005258E6"/>
    <w:rsid w:val="00525C6D"/>
    <w:rsid w:val="00526101"/>
    <w:rsid w:val="005277B4"/>
    <w:rsid w:val="0053027D"/>
    <w:rsid w:val="0053331C"/>
    <w:rsid w:val="00534873"/>
    <w:rsid w:val="00534A00"/>
    <w:rsid w:val="005352DC"/>
    <w:rsid w:val="005361DB"/>
    <w:rsid w:val="005368FF"/>
    <w:rsid w:val="00537414"/>
    <w:rsid w:val="005379BE"/>
    <w:rsid w:val="005407BD"/>
    <w:rsid w:val="00540A8A"/>
    <w:rsid w:val="00541752"/>
    <w:rsid w:val="005427A7"/>
    <w:rsid w:val="00544391"/>
    <w:rsid w:val="005450E4"/>
    <w:rsid w:val="0054624F"/>
    <w:rsid w:val="00546BE9"/>
    <w:rsid w:val="0054707C"/>
    <w:rsid w:val="00547A4E"/>
    <w:rsid w:val="00550835"/>
    <w:rsid w:val="00550F61"/>
    <w:rsid w:val="00551D5B"/>
    <w:rsid w:val="005525AB"/>
    <w:rsid w:val="0055290E"/>
    <w:rsid w:val="00552B38"/>
    <w:rsid w:val="00553047"/>
    <w:rsid w:val="0055426C"/>
    <w:rsid w:val="00554DCB"/>
    <w:rsid w:val="005553B3"/>
    <w:rsid w:val="00555A12"/>
    <w:rsid w:val="00556CCE"/>
    <w:rsid w:val="00556F41"/>
    <w:rsid w:val="00557231"/>
    <w:rsid w:val="00557EE8"/>
    <w:rsid w:val="00560D82"/>
    <w:rsid w:val="00562146"/>
    <w:rsid w:val="0056220A"/>
    <w:rsid w:val="00562410"/>
    <w:rsid w:val="00562901"/>
    <w:rsid w:val="00563895"/>
    <w:rsid w:val="00564107"/>
    <w:rsid w:val="005649B1"/>
    <w:rsid w:val="00564D6E"/>
    <w:rsid w:val="00565A69"/>
    <w:rsid w:val="00566A2A"/>
    <w:rsid w:val="005679B4"/>
    <w:rsid w:val="005719AA"/>
    <w:rsid w:val="00575054"/>
    <w:rsid w:val="005768E0"/>
    <w:rsid w:val="005770F1"/>
    <w:rsid w:val="005814E8"/>
    <w:rsid w:val="00581B2A"/>
    <w:rsid w:val="00581B7F"/>
    <w:rsid w:val="005823B7"/>
    <w:rsid w:val="00582D28"/>
    <w:rsid w:val="00583D28"/>
    <w:rsid w:val="00584AC7"/>
    <w:rsid w:val="005850FC"/>
    <w:rsid w:val="0058670C"/>
    <w:rsid w:val="0058726C"/>
    <w:rsid w:val="0059170B"/>
    <w:rsid w:val="00592FB1"/>
    <w:rsid w:val="0059333F"/>
    <w:rsid w:val="00593DBE"/>
    <w:rsid w:val="005976A1"/>
    <w:rsid w:val="005A0AB0"/>
    <w:rsid w:val="005A0D6C"/>
    <w:rsid w:val="005A0E86"/>
    <w:rsid w:val="005A23FE"/>
    <w:rsid w:val="005A2CAB"/>
    <w:rsid w:val="005A3911"/>
    <w:rsid w:val="005A3C3F"/>
    <w:rsid w:val="005A47FA"/>
    <w:rsid w:val="005A4B14"/>
    <w:rsid w:val="005A6741"/>
    <w:rsid w:val="005A685D"/>
    <w:rsid w:val="005A7896"/>
    <w:rsid w:val="005B049E"/>
    <w:rsid w:val="005B075A"/>
    <w:rsid w:val="005B0C5C"/>
    <w:rsid w:val="005B21A6"/>
    <w:rsid w:val="005B5111"/>
    <w:rsid w:val="005B5DD3"/>
    <w:rsid w:val="005B6146"/>
    <w:rsid w:val="005B6CF3"/>
    <w:rsid w:val="005B764E"/>
    <w:rsid w:val="005B788C"/>
    <w:rsid w:val="005B7DAC"/>
    <w:rsid w:val="005C122E"/>
    <w:rsid w:val="005C249F"/>
    <w:rsid w:val="005C29FB"/>
    <w:rsid w:val="005C30D6"/>
    <w:rsid w:val="005C4F3E"/>
    <w:rsid w:val="005C5619"/>
    <w:rsid w:val="005C649F"/>
    <w:rsid w:val="005C67A1"/>
    <w:rsid w:val="005C6A21"/>
    <w:rsid w:val="005C6A2F"/>
    <w:rsid w:val="005C6B82"/>
    <w:rsid w:val="005C6DA9"/>
    <w:rsid w:val="005C7AD0"/>
    <w:rsid w:val="005C7C1D"/>
    <w:rsid w:val="005D0043"/>
    <w:rsid w:val="005D0B79"/>
    <w:rsid w:val="005D226D"/>
    <w:rsid w:val="005D6E8D"/>
    <w:rsid w:val="005D7085"/>
    <w:rsid w:val="005D75ED"/>
    <w:rsid w:val="005E08B5"/>
    <w:rsid w:val="005E2E22"/>
    <w:rsid w:val="005E36E5"/>
    <w:rsid w:val="005E3DA0"/>
    <w:rsid w:val="005E4A7D"/>
    <w:rsid w:val="005E6CF2"/>
    <w:rsid w:val="005F0120"/>
    <w:rsid w:val="005F0692"/>
    <w:rsid w:val="005F1845"/>
    <w:rsid w:val="005F1F3E"/>
    <w:rsid w:val="005F22DD"/>
    <w:rsid w:val="005F3858"/>
    <w:rsid w:val="005F6196"/>
    <w:rsid w:val="00601C4B"/>
    <w:rsid w:val="00601D1B"/>
    <w:rsid w:val="00602187"/>
    <w:rsid w:val="00602B93"/>
    <w:rsid w:val="00603B1A"/>
    <w:rsid w:val="00604C17"/>
    <w:rsid w:val="00605264"/>
    <w:rsid w:val="0060543D"/>
    <w:rsid w:val="00605F3F"/>
    <w:rsid w:val="00606731"/>
    <w:rsid w:val="0060742D"/>
    <w:rsid w:val="00607A2A"/>
    <w:rsid w:val="00610534"/>
    <w:rsid w:val="00610826"/>
    <w:rsid w:val="00610894"/>
    <w:rsid w:val="00611544"/>
    <w:rsid w:val="0061253D"/>
    <w:rsid w:val="00613413"/>
    <w:rsid w:val="00613525"/>
    <w:rsid w:val="00613AF8"/>
    <w:rsid w:val="00613C6C"/>
    <w:rsid w:val="00614B06"/>
    <w:rsid w:val="00615729"/>
    <w:rsid w:val="00615866"/>
    <w:rsid w:val="00615D8A"/>
    <w:rsid w:val="00616688"/>
    <w:rsid w:val="00617B57"/>
    <w:rsid w:val="0062143C"/>
    <w:rsid w:val="006218B2"/>
    <w:rsid w:val="00622BD4"/>
    <w:rsid w:val="00622F99"/>
    <w:rsid w:val="00622FE0"/>
    <w:rsid w:val="006246D2"/>
    <w:rsid w:val="0062703C"/>
    <w:rsid w:val="00627334"/>
    <w:rsid w:val="006276EA"/>
    <w:rsid w:val="00627CD9"/>
    <w:rsid w:val="00630523"/>
    <w:rsid w:val="00632403"/>
    <w:rsid w:val="00632AE4"/>
    <w:rsid w:val="00634438"/>
    <w:rsid w:val="00634593"/>
    <w:rsid w:val="0063708F"/>
    <w:rsid w:val="00637EE6"/>
    <w:rsid w:val="00640B44"/>
    <w:rsid w:val="00642E71"/>
    <w:rsid w:val="006430B2"/>
    <w:rsid w:val="00643545"/>
    <w:rsid w:val="00644103"/>
    <w:rsid w:val="006454C6"/>
    <w:rsid w:val="00645EBE"/>
    <w:rsid w:val="0064629B"/>
    <w:rsid w:val="0064629C"/>
    <w:rsid w:val="00646D88"/>
    <w:rsid w:val="00647053"/>
    <w:rsid w:val="00647169"/>
    <w:rsid w:val="006474DB"/>
    <w:rsid w:val="00647A7E"/>
    <w:rsid w:val="00647CD7"/>
    <w:rsid w:val="0065016A"/>
    <w:rsid w:val="006501D6"/>
    <w:rsid w:val="00650356"/>
    <w:rsid w:val="0065048D"/>
    <w:rsid w:val="00650A46"/>
    <w:rsid w:val="00650FE7"/>
    <w:rsid w:val="006511C2"/>
    <w:rsid w:val="00651E1E"/>
    <w:rsid w:val="00652D54"/>
    <w:rsid w:val="00654DA0"/>
    <w:rsid w:val="00656B8E"/>
    <w:rsid w:val="0065738D"/>
    <w:rsid w:val="00660FB6"/>
    <w:rsid w:val="006611A7"/>
    <w:rsid w:val="00661B67"/>
    <w:rsid w:val="006625FB"/>
    <w:rsid w:val="00662A12"/>
    <w:rsid w:val="00665A2F"/>
    <w:rsid w:val="00665B01"/>
    <w:rsid w:val="00665EED"/>
    <w:rsid w:val="00665F83"/>
    <w:rsid w:val="00666B35"/>
    <w:rsid w:val="00666E6A"/>
    <w:rsid w:val="00667888"/>
    <w:rsid w:val="00670351"/>
    <w:rsid w:val="006706F8"/>
    <w:rsid w:val="00671C0C"/>
    <w:rsid w:val="00673634"/>
    <w:rsid w:val="00674208"/>
    <w:rsid w:val="00674F13"/>
    <w:rsid w:val="00675183"/>
    <w:rsid w:val="00675236"/>
    <w:rsid w:val="0067596F"/>
    <w:rsid w:val="00675CE9"/>
    <w:rsid w:val="00676AA3"/>
    <w:rsid w:val="00677EF8"/>
    <w:rsid w:val="00681AC6"/>
    <w:rsid w:val="006824BD"/>
    <w:rsid w:val="00683E7D"/>
    <w:rsid w:val="00684880"/>
    <w:rsid w:val="00684992"/>
    <w:rsid w:val="00684B4B"/>
    <w:rsid w:val="00684DAF"/>
    <w:rsid w:val="006858C5"/>
    <w:rsid w:val="00686A5D"/>
    <w:rsid w:val="00687003"/>
    <w:rsid w:val="00690222"/>
    <w:rsid w:val="006904FB"/>
    <w:rsid w:val="00690B98"/>
    <w:rsid w:val="00690E5B"/>
    <w:rsid w:val="00693658"/>
    <w:rsid w:val="006A1B29"/>
    <w:rsid w:val="006A1E6A"/>
    <w:rsid w:val="006A294A"/>
    <w:rsid w:val="006A70E1"/>
    <w:rsid w:val="006B0FAF"/>
    <w:rsid w:val="006B263B"/>
    <w:rsid w:val="006B2CD6"/>
    <w:rsid w:val="006B2E7F"/>
    <w:rsid w:val="006B45D8"/>
    <w:rsid w:val="006B4B0A"/>
    <w:rsid w:val="006B5D08"/>
    <w:rsid w:val="006B5F92"/>
    <w:rsid w:val="006B5FC0"/>
    <w:rsid w:val="006B6BE1"/>
    <w:rsid w:val="006B6FD3"/>
    <w:rsid w:val="006C0E35"/>
    <w:rsid w:val="006C1368"/>
    <w:rsid w:val="006C1AC6"/>
    <w:rsid w:val="006C293C"/>
    <w:rsid w:val="006C3C6D"/>
    <w:rsid w:val="006C43E5"/>
    <w:rsid w:val="006C517F"/>
    <w:rsid w:val="006C6A94"/>
    <w:rsid w:val="006D1EC0"/>
    <w:rsid w:val="006D2CE8"/>
    <w:rsid w:val="006D2DAB"/>
    <w:rsid w:val="006D2EC4"/>
    <w:rsid w:val="006D360E"/>
    <w:rsid w:val="006D37A6"/>
    <w:rsid w:val="006D3955"/>
    <w:rsid w:val="006D3967"/>
    <w:rsid w:val="006D5325"/>
    <w:rsid w:val="006D7310"/>
    <w:rsid w:val="006D7999"/>
    <w:rsid w:val="006E1B0D"/>
    <w:rsid w:val="006E1FB4"/>
    <w:rsid w:val="006E22A0"/>
    <w:rsid w:val="006E2A6C"/>
    <w:rsid w:val="006E6389"/>
    <w:rsid w:val="006E7C18"/>
    <w:rsid w:val="006E7EAD"/>
    <w:rsid w:val="006E7ECE"/>
    <w:rsid w:val="006F02DD"/>
    <w:rsid w:val="006F1380"/>
    <w:rsid w:val="006F1EB0"/>
    <w:rsid w:val="006F3096"/>
    <w:rsid w:val="006F3AA6"/>
    <w:rsid w:val="006F3E57"/>
    <w:rsid w:val="006F45DA"/>
    <w:rsid w:val="006F57D6"/>
    <w:rsid w:val="006F6F58"/>
    <w:rsid w:val="006F7481"/>
    <w:rsid w:val="006F784B"/>
    <w:rsid w:val="00700C31"/>
    <w:rsid w:val="00701F38"/>
    <w:rsid w:val="007020D5"/>
    <w:rsid w:val="00702A38"/>
    <w:rsid w:val="00704425"/>
    <w:rsid w:val="00704B76"/>
    <w:rsid w:val="00705958"/>
    <w:rsid w:val="00705C2A"/>
    <w:rsid w:val="00710610"/>
    <w:rsid w:val="00710799"/>
    <w:rsid w:val="007112F3"/>
    <w:rsid w:val="00712F17"/>
    <w:rsid w:val="007133DE"/>
    <w:rsid w:val="0071463C"/>
    <w:rsid w:val="007147EB"/>
    <w:rsid w:val="00714CFE"/>
    <w:rsid w:val="00720B67"/>
    <w:rsid w:val="00721200"/>
    <w:rsid w:val="00721BB0"/>
    <w:rsid w:val="007220F8"/>
    <w:rsid w:val="0072256F"/>
    <w:rsid w:val="00723863"/>
    <w:rsid w:val="00723F6E"/>
    <w:rsid w:val="0072529E"/>
    <w:rsid w:val="00725383"/>
    <w:rsid w:val="007259EF"/>
    <w:rsid w:val="00725A2F"/>
    <w:rsid w:val="00727850"/>
    <w:rsid w:val="00731CDE"/>
    <w:rsid w:val="00731EE7"/>
    <w:rsid w:val="00732D41"/>
    <w:rsid w:val="00732E55"/>
    <w:rsid w:val="00733AEA"/>
    <w:rsid w:val="0073492D"/>
    <w:rsid w:val="00734F9C"/>
    <w:rsid w:val="00736856"/>
    <w:rsid w:val="00736D2C"/>
    <w:rsid w:val="007404C3"/>
    <w:rsid w:val="00742997"/>
    <w:rsid w:val="0074418E"/>
    <w:rsid w:val="00744F98"/>
    <w:rsid w:val="00745C47"/>
    <w:rsid w:val="00747547"/>
    <w:rsid w:val="00747B1B"/>
    <w:rsid w:val="007518A3"/>
    <w:rsid w:val="00752E02"/>
    <w:rsid w:val="00753169"/>
    <w:rsid w:val="00753467"/>
    <w:rsid w:val="007544A9"/>
    <w:rsid w:val="00754D8F"/>
    <w:rsid w:val="00755539"/>
    <w:rsid w:val="007565EC"/>
    <w:rsid w:val="00757290"/>
    <w:rsid w:val="00763B08"/>
    <w:rsid w:val="00763EB8"/>
    <w:rsid w:val="00764066"/>
    <w:rsid w:val="00764288"/>
    <w:rsid w:val="007643CE"/>
    <w:rsid w:val="0076612F"/>
    <w:rsid w:val="007663A6"/>
    <w:rsid w:val="00766F1D"/>
    <w:rsid w:val="00767EED"/>
    <w:rsid w:val="007702A2"/>
    <w:rsid w:val="00770398"/>
    <w:rsid w:val="00770E80"/>
    <w:rsid w:val="00772E40"/>
    <w:rsid w:val="00773BD8"/>
    <w:rsid w:val="00773C4E"/>
    <w:rsid w:val="00773C6E"/>
    <w:rsid w:val="00776002"/>
    <w:rsid w:val="00777F3F"/>
    <w:rsid w:val="00781A12"/>
    <w:rsid w:val="007829A0"/>
    <w:rsid w:val="00783FA8"/>
    <w:rsid w:val="00784C28"/>
    <w:rsid w:val="00786C45"/>
    <w:rsid w:val="007873CE"/>
    <w:rsid w:val="0078770F"/>
    <w:rsid w:val="00790FFF"/>
    <w:rsid w:val="00792BB0"/>
    <w:rsid w:val="00793507"/>
    <w:rsid w:val="00793999"/>
    <w:rsid w:val="00794211"/>
    <w:rsid w:val="007943F7"/>
    <w:rsid w:val="007946CB"/>
    <w:rsid w:val="0079478B"/>
    <w:rsid w:val="007949BB"/>
    <w:rsid w:val="00794D41"/>
    <w:rsid w:val="00795089"/>
    <w:rsid w:val="00795540"/>
    <w:rsid w:val="00795B9D"/>
    <w:rsid w:val="00796C84"/>
    <w:rsid w:val="00797C62"/>
    <w:rsid w:val="00797E8F"/>
    <w:rsid w:val="007A07DA"/>
    <w:rsid w:val="007A0A05"/>
    <w:rsid w:val="007A0E6D"/>
    <w:rsid w:val="007A1CE0"/>
    <w:rsid w:val="007A24C5"/>
    <w:rsid w:val="007A2EE4"/>
    <w:rsid w:val="007A38D2"/>
    <w:rsid w:val="007A3D81"/>
    <w:rsid w:val="007A5373"/>
    <w:rsid w:val="007A6CD8"/>
    <w:rsid w:val="007B1650"/>
    <w:rsid w:val="007B227B"/>
    <w:rsid w:val="007B2BB8"/>
    <w:rsid w:val="007B3302"/>
    <w:rsid w:val="007B3D0E"/>
    <w:rsid w:val="007B475C"/>
    <w:rsid w:val="007B684F"/>
    <w:rsid w:val="007B7CF2"/>
    <w:rsid w:val="007B7DDE"/>
    <w:rsid w:val="007B7E49"/>
    <w:rsid w:val="007C170D"/>
    <w:rsid w:val="007C19BD"/>
    <w:rsid w:val="007C3279"/>
    <w:rsid w:val="007C3B1A"/>
    <w:rsid w:val="007C427C"/>
    <w:rsid w:val="007C477B"/>
    <w:rsid w:val="007C6036"/>
    <w:rsid w:val="007C617E"/>
    <w:rsid w:val="007C68CE"/>
    <w:rsid w:val="007D0D8A"/>
    <w:rsid w:val="007D19E1"/>
    <w:rsid w:val="007D1F33"/>
    <w:rsid w:val="007D3FE0"/>
    <w:rsid w:val="007D5B6F"/>
    <w:rsid w:val="007D64B3"/>
    <w:rsid w:val="007D71E3"/>
    <w:rsid w:val="007D7D06"/>
    <w:rsid w:val="007E004A"/>
    <w:rsid w:val="007E110C"/>
    <w:rsid w:val="007E1209"/>
    <w:rsid w:val="007E1442"/>
    <w:rsid w:val="007E19EF"/>
    <w:rsid w:val="007E3934"/>
    <w:rsid w:val="007E4BA1"/>
    <w:rsid w:val="007E4CF3"/>
    <w:rsid w:val="007E76BE"/>
    <w:rsid w:val="007E774A"/>
    <w:rsid w:val="007F04A3"/>
    <w:rsid w:val="007F04C8"/>
    <w:rsid w:val="007F1EDB"/>
    <w:rsid w:val="007F29C3"/>
    <w:rsid w:val="007F2EC7"/>
    <w:rsid w:val="007F3825"/>
    <w:rsid w:val="007F4547"/>
    <w:rsid w:val="007F57CB"/>
    <w:rsid w:val="007F58DA"/>
    <w:rsid w:val="007F6A4E"/>
    <w:rsid w:val="007F6F38"/>
    <w:rsid w:val="008003EA"/>
    <w:rsid w:val="00800483"/>
    <w:rsid w:val="008011E5"/>
    <w:rsid w:val="00801A18"/>
    <w:rsid w:val="008027AA"/>
    <w:rsid w:val="0080325B"/>
    <w:rsid w:val="00804AD7"/>
    <w:rsid w:val="00804EAE"/>
    <w:rsid w:val="00806734"/>
    <w:rsid w:val="00807990"/>
    <w:rsid w:val="00810F44"/>
    <w:rsid w:val="00811311"/>
    <w:rsid w:val="008122D2"/>
    <w:rsid w:val="00812A26"/>
    <w:rsid w:val="00814044"/>
    <w:rsid w:val="0081542F"/>
    <w:rsid w:val="00816241"/>
    <w:rsid w:val="008166AB"/>
    <w:rsid w:val="008210A1"/>
    <w:rsid w:val="00823A6C"/>
    <w:rsid w:val="00824639"/>
    <w:rsid w:val="00825074"/>
    <w:rsid w:val="00825669"/>
    <w:rsid w:val="00825A20"/>
    <w:rsid w:val="00825ECA"/>
    <w:rsid w:val="00826330"/>
    <w:rsid w:val="0082750B"/>
    <w:rsid w:val="00830C0C"/>
    <w:rsid w:val="00830EE6"/>
    <w:rsid w:val="00831ECD"/>
    <w:rsid w:val="00832D7F"/>
    <w:rsid w:val="00834FDB"/>
    <w:rsid w:val="00835077"/>
    <w:rsid w:val="00836F40"/>
    <w:rsid w:val="00837525"/>
    <w:rsid w:val="00841146"/>
    <w:rsid w:val="00841A03"/>
    <w:rsid w:val="00841E74"/>
    <w:rsid w:val="00841E99"/>
    <w:rsid w:val="008449E1"/>
    <w:rsid w:val="00844D2C"/>
    <w:rsid w:val="00845460"/>
    <w:rsid w:val="00845676"/>
    <w:rsid w:val="00847918"/>
    <w:rsid w:val="00850FA8"/>
    <w:rsid w:val="00850FEF"/>
    <w:rsid w:val="00851152"/>
    <w:rsid w:val="00851453"/>
    <w:rsid w:val="00851D5F"/>
    <w:rsid w:val="008529EB"/>
    <w:rsid w:val="008534F6"/>
    <w:rsid w:val="00853B2A"/>
    <w:rsid w:val="0085455B"/>
    <w:rsid w:val="008547E7"/>
    <w:rsid w:val="00855A7C"/>
    <w:rsid w:val="0085668B"/>
    <w:rsid w:val="00857FB0"/>
    <w:rsid w:val="008600C8"/>
    <w:rsid w:val="00865B20"/>
    <w:rsid w:val="00866137"/>
    <w:rsid w:val="0086670E"/>
    <w:rsid w:val="008671B2"/>
    <w:rsid w:val="00867438"/>
    <w:rsid w:val="00867F30"/>
    <w:rsid w:val="00870116"/>
    <w:rsid w:val="008719A7"/>
    <w:rsid w:val="008721AD"/>
    <w:rsid w:val="00874BE0"/>
    <w:rsid w:val="00875C3D"/>
    <w:rsid w:val="00877B58"/>
    <w:rsid w:val="00880B7D"/>
    <w:rsid w:val="00881E41"/>
    <w:rsid w:val="00883362"/>
    <w:rsid w:val="0088358F"/>
    <w:rsid w:val="0088418C"/>
    <w:rsid w:val="00884EA7"/>
    <w:rsid w:val="008859A7"/>
    <w:rsid w:val="00885CD3"/>
    <w:rsid w:val="00890824"/>
    <w:rsid w:val="0089198C"/>
    <w:rsid w:val="0089252B"/>
    <w:rsid w:val="00892B74"/>
    <w:rsid w:val="0089311F"/>
    <w:rsid w:val="008939CC"/>
    <w:rsid w:val="00893FA8"/>
    <w:rsid w:val="00895C9A"/>
    <w:rsid w:val="00896F01"/>
    <w:rsid w:val="008A087C"/>
    <w:rsid w:val="008A0A36"/>
    <w:rsid w:val="008A0D97"/>
    <w:rsid w:val="008A16D6"/>
    <w:rsid w:val="008A1AAA"/>
    <w:rsid w:val="008A2180"/>
    <w:rsid w:val="008A4B44"/>
    <w:rsid w:val="008A5360"/>
    <w:rsid w:val="008A5888"/>
    <w:rsid w:val="008A6F5B"/>
    <w:rsid w:val="008A700C"/>
    <w:rsid w:val="008B23AE"/>
    <w:rsid w:val="008B2EFB"/>
    <w:rsid w:val="008B4971"/>
    <w:rsid w:val="008B5C07"/>
    <w:rsid w:val="008B7FF4"/>
    <w:rsid w:val="008C10CC"/>
    <w:rsid w:val="008C1401"/>
    <w:rsid w:val="008C2904"/>
    <w:rsid w:val="008C3355"/>
    <w:rsid w:val="008C3998"/>
    <w:rsid w:val="008C3D93"/>
    <w:rsid w:val="008C43F7"/>
    <w:rsid w:val="008C4439"/>
    <w:rsid w:val="008C4697"/>
    <w:rsid w:val="008C5CE9"/>
    <w:rsid w:val="008D01AA"/>
    <w:rsid w:val="008D0D08"/>
    <w:rsid w:val="008D1A88"/>
    <w:rsid w:val="008D1CE1"/>
    <w:rsid w:val="008D257D"/>
    <w:rsid w:val="008D376F"/>
    <w:rsid w:val="008D3C1D"/>
    <w:rsid w:val="008D459E"/>
    <w:rsid w:val="008D5C2B"/>
    <w:rsid w:val="008D7B73"/>
    <w:rsid w:val="008E02E9"/>
    <w:rsid w:val="008E1AE0"/>
    <w:rsid w:val="008E2E7D"/>
    <w:rsid w:val="008E37A6"/>
    <w:rsid w:val="008E607B"/>
    <w:rsid w:val="008E7F6C"/>
    <w:rsid w:val="008F0D7D"/>
    <w:rsid w:val="008F15A4"/>
    <w:rsid w:val="008F3638"/>
    <w:rsid w:val="008F3E86"/>
    <w:rsid w:val="008F3EDB"/>
    <w:rsid w:val="008F477C"/>
    <w:rsid w:val="008F4DCF"/>
    <w:rsid w:val="008F5ACE"/>
    <w:rsid w:val="008F5C4C"/>
    <w:rsid w:val="008F5C50"/>
    <w:rsid w:val="008F7183"/>
    <w:rsid w:val="00900A77"/>
    <w:rsid w:val="009014CA"/>
    <w:rsid w:val="0090228F"/>
    <w:rsid w:val="0090264E"/>
    <w:rsid w:val="00902A0E"/>
    <w:rsid w:val="0090346F"/>
    <w:rsid w:val="00903ACF"/>
    <w:rsid w:val="009040E3"/>
    <w:rsid w:val="00904BD4"/>
    <w:rsid w:val="00905CBC"/>
    <w:rsid w:val="00906E18"/>
    <w:rsid w:val="0091069A"/>
    <w:rsid w:val="00910D41"/>
    <w:rsid w:val="00912AD4"/>
    <w:rsid w:val="00912BB9"/>
    <w:rsid w:val="0091328B"/>
    <w:rsid w:val="0091478D"/>
    <w:rsid w:val="00914FFE"/>
    <w:rsid w:val="0091771B"/>
    <w:rsid w:val="0091796A"/>
    <w:rsid w:val="00917D64"/>
    <w:rsid w:val="00921031"/>
    <w:rsid w:val="00921634"/>
    <w:rsid w:val="009218E6"/>
    <w:rsid w:val="00921A03"/>
    <w:rsid w:val="00922A1E"/>
    <w:rsid w:val="00924572"/>
    <w:rsid w:val="009247FB"/>
    <w:rsid w:val="009268D3"/>
    <w:rsid w:val="009269AB"/>
    <w:rsid w:val="00926E6D"/>
    <w:rsid w:val="00927A56"/>
    <w:rsid w:val="00931769"/>
    <w:rsid w:val="009324F0"/>
    <w:rsid w:val="00934C6C"/>
    <w:rsid w:val="009354FF"/>
    <w:rsid w:val="0093643B"/>
    <w:rsid w:val="00936848"/>
    <w:rsid w:val="00940D51"/>
    <w:rsid w:val="00941C29"/>
    <w:rsid w:val="009449E3"/>
    <w:rsid w:val="00945275"/>
    <w:rsid w:val="009456A6"/>
    <w:rsid w:val="0094608F"/>
    <w:rsid w:val="00946177"/>
    <w:rsid w:val="009469D4"/>
    <w:rsid w:val="0094714C"/>
    <w:rsid w:val="00947523"/>
    <w:rsid w:val="00947654"/>
    <w:rsid w:val="00950CE0"/>
    <w:rsid w:val="00951255"/>
    <w:rsid w:val="0095406F"/>
    <w:rsid w:val="0095480D"/>
    <w:rsid w:val="009556AD"/>
    <w:rsid w:val="00957802"/>
    <w:rsid w:val="00957827"/>
    <w:rsid w:val="00962256"/>
    <w:rsid w:val="00963E86"/>
    <w:rsid w:val="00964BE9"/>
    <w:rsid w:val="00964C12"/>
    <w:rsid w:val="00965AB5"/>
    <w:rsid w:val="00965F00"/>
    <w:rsid w:val="0097133B"/>
    <w:rsid w:val="009715B9"/>
    <w:rsid w:val="00971688"/>
    <w:rsid w:val="00972914"/>
    <w:rsid w:val="00973A3E"/>
    <w:rsid w:val="00975F26"/>
    <w:rsid w:val="009762A8"/>
    <w:rsid w:val="0097752C"/>
    <w:rsid w:val="00977EF3"/>
    <w:rsid w:val="0098056A"/>
    <w:rsid w:val="00980B97"/>
    <w:rsid w:val="00982CE7"/>
    <w:rsid w:val="00984057"/>
    <w:rsid w:val="00990975"/>
    <w:rsid w:val="0099225E"/>
    <w:rsid w:val="0099294F"/>
    <w:rsid w:val="0099377E"/>
    <w:rsid w:val="00993914"/>
    <w:rsid w:val="00993934"/>
    <w:rsid w:val="00993B4A"/>
    <w:rsid w:val="00995547"/>
    <w:rsid w:val="009959D0"/>
    <w:rsid w:val="0099749D"/>
    <w:rsid w:val="0099794D"/>
    <w:rsid w:val="009A0158"/>
    <w:rsid w:val="009A0AFE"/>
    <w:rsid w:val="009A0D23"/>
    <w:rsid w:val="009A11E1"/>
    <w:rsid w:val="009A1F2E"/>
    <w:rsid w:val="009A56A3"/>
    <w:rsid w:val="009A585E"/>
    <w:rsid w:val="009A5E0D"/>
    <w:rsid w:val="009A63D4"/>
    <w:rsid w:val="009A7A88"/>
    <w:rsid w:val="009A7B8A"/>
    <w:rsid w:val="009B0799"/>
    <w:rsid w:val="009B0EF8"/>
    <w:rsid w:val="009B10A4"/>
    <w:rsid w:val="009B1524"/>
    <w:rsid w:val="009B327C"/>
    <w:rsid w:val="009B3646"/>
    <w:rsid w:val="009B3EED"/>
    <w:rsid w:val="009B4D8A"/>
    <w:rsid w:val="009B5844"/>
    <w:rsid w:val="009B6415"/>
    <w:rsid w:val="009B6834"/>
    <w:rsid w:val="009B7476"/>
    <w:rsid w:val="009C067B"/>
    <w:rsid w:val="009C0B80"/>
    <w:rsid w:val="009C1E21"/>
    <w:rsid w:val="009C2552"/>
    <w:rsid w:val="009C353B"/>
    <w:rsid w:val="009C36BD"/>
    <w:rsid w:val="009C3ABF"/>
    <w:rsid w:val="009C566D"/>
    <w:rsid w:val="009C5A7F"/>
    <w:rsid w:val="009C6148"/>
    <w:rsid w:val="009C64B4"/>
    <w:rsid w:val="009C7D2D"/>
    <w:rsid w:val="009D022F"/>
    <w:rsid w:val="009D06D1"/>
    <w:rsid w:val="009D0AA6"/>
    <w:rsid w:val="009D2C91"/>
    <w:rsid w:val="009D3415"/>
    <w:rsid w:val="009D41EF"/>
    <w:rsid w:val="009D4B5F"/>
    <w:rsid w:val="009D4E8D"/>
    <w:rsid w:val="009D6AD1"/>
    <w:rsid w:val="009D75D6"/>
    <w:rsid w:val="009D7847"/>
    <w:rsid w:val="009D7C3F"/>
    <w:rsid w:val="009E1FE0"/>
    <w:rsid w:val="009E21AB"/>
    <w:rsid w:val="009E237E"/>
    <w:rsid w:val="009E24A3"/>
    <w:rsid w:val="009E49E9"/>
    <w:rsid w:val="009E4D29"/>
    <w:rsid w:val="009E50B4"/>
    <w:rsid w:val="009E5652"/>
    <w:rsid w:val="009E5FB5"/>
    <w:rsid w:val="009E643B"/>
    <w:rsid w:val="009F14A1"/>
    <w:rsid w:val="009F31C3"/>
    <w:rsid w:val="009F3472"/>
    <w:rsid w:val="009F35B3"/>
    <w:rsid w:val="009F519E"/>
    <w:rsid w:val="009F5952"/>
    <w:rsid w:val="009F73E8"/>
    <w:rsid w:val="009F7863"/>
    <w:rsid w:val="00A013AD"/>
    <w:rsid w:val="00A02437"/>
    <w:rsid w:val="00A02FC6"/>
    <w:rsid w:val="00A037A8"/>
    <w:rsid w:val="00A048FD"/>
    <w:rsid w:val="00A04B38"/>
    <w:rsid w:val="00A06DF6"/>
    <w:rsid w:val="00A072D0"/>
    <w:rsid w:val="00A10D31"/>
    <w:rsid w:val="00A11639"/>
    <w:rsid w:val="00A143EA"/>
    <w:rsid w:val="00A148C5"/>
    <w:rsid w:val="00A14CC0"/>
    <w:rsid w:val="00A152EE"/>
    <w:rsid w:val="00A162A4"/>
    <w:rsid w:val="00A17945"/>
    <w:rsid w:val="00A22F17"/>
    <w:rsid w:val="00A234FB"/>
    <w:rsid w:val="00A2631A"/>
    <w:rsid w:val="00A26A6B"/>
    <w:rsid w:val="00A3035F"/>
    <w:rsid w:val="00A32480"/>
    <w:rsid w:val="00A3377B"/>
    <w:rsid w:val="00A33E5C"/>
    <w:rsid w:val="00A33FE3"/>
    <w:rsid w:val="00A34F0E"/>
    <w:rsid w:val="00A35282"/>
    <w:rsid w:val="00A35EEE"/>
    <w:rsid w:val="00A42037"/>
    <w:rsid w:val="00A4235B"/>
    <w:rsid w:val="00A424A1"/>
    <w:rsid w:val="00A42785"/>
    <w:rsid w:val="00A43C4C"/>
    <w:rsid w:val="00A44A0D"/>
    <w:rsid w:val="00A44C84"/>
    <w:rsid w:val="00A461FF"/>
    <w:rsid w:val="00A47207"/>
    <w:rsid w:val="00A503B4"/>
    <w:rsid w:val="00A523E7"/>
    <w:rsid w:val="00A541A2"/>
    <w:rsid w:val="00A54227"/>
    <w:rsid w:val="00A55C6B"/>
    <w:rsid w:val="00A56003"/>
    <w:rsid w:val="00A56CDF"/>
    <w:rsid w:val="00A5789C"/>
    <w:rsid w:val="00A57991"/>
    <w:rsid w:val="00A57B0D"/>
    <w:rsid w:val="00A60FFA"/>
    <w:rsid w:val="00A621F2"/>
    <w:rsid w:val="00A63E11"/>
    <w:rsid w:val="00A64492"/>
    <w:rsid w:val="00A6454A"/>
    <w:rsid w:val="00A656FC"/>
    <w:rsid w:val="00A65BE3"/>
    <w:rsid w:val="00A66005"/>
    <w:rsid w:val="00A665B4"/>
    <w:rsid w:val="00A66640"/>
    <w:rsid w:val="00A668CE"/>
    <w:rsid w:val="00A66CCB"/>
    <w:rsid w:val="00A66F61"/>
    <w:rsid w:val="00A7008C"/>
    <w:rsid w:val="00A70C47"/>
    <w:rsid w:val="00A70EC8"/>
    <w:rsid w:val="00A711E3"/>
    <w:rsid w:val="00A71BF1"/>
    <w:rsid w:val="00A71C95"/>
    <w:rsid w:val="00A72634"/>
    <w:rsid w:val="00A72A52"/>
    <w:rsid w:val="00A7420D"/>
    <w:rsid w:val="00A764B0"/>
    <w:rsid w:val="00A76733"/>
    <w:rsid w:val="00A76FD6"/>
    <w:rsid w:val="00A77B9C"/>
    <w:rsid w:val="00A82AB8"/>
    <w:rsid w:val="00A82B4E"/>
    <w:rsid w:val="00A84CAF"/>
    <w:rsid w:val="00A85025"/>
    <w:rsid w:val="00A8551F"/>
    <w:rsid w:val="00A86371"/>
    <w:rsid w:val="00A86DFF"/>
    <w:rsid w:val="00A9179E"/>
    <w:rsid w:val="00A923DF"/>
    <w:rsid w:val="00A934D8"/>
    <w:rsid w:val="00A95748"/>
    <w:rsid w:val="00A95AB7"/>
    <w:rsid w:val="00A96023"/>
    <w:rsid w:val="00A97E4E"/>
    <w:rsid w:val="00A97F5A"/>
    <w:rsid w:val="00AA0F86"/>
    <w:rsid w:val="00AA18CF"/>
    <w:rsid w:val="00AA39E3"/>
    <w:rsid w:val="00AA5CF0"/>
    <w:rsid w:val="00AA7AE5"/>
    <w:rsid w:val="00AA7DCF"/>
    <w:rsid w:val="00AB1D4E"/>
    <w:rsid w:val="00AB2F92"/>
    <w:rsid w:val="00AB3284"/>
    <w:rsid w:val="00AB4F57"/>
    <w:rsid w:val="00AB549B"/>
    <w:rsid w:val="00AB6127"/>
    <w:rsid w:val="00AB7687"/>
    <w:rsid w:val="00AB7813"/>
    <w:rsid w:val="00AC1841"/>
    <w:rsid w:val="00AC2AD3"/>
    <w:rsid w:val="00AC39E0"/>
    <w:rsid w:val="00AC3D0D"/>
    <w:rsid w:val="00AC4721"/>
    <w:rsid w:val="00AC5404"/>
    <w:rsid w:val="00AC548B"/>
    <w:rsid w:val="00AC6C3F"/>
    <w:rsid w:val="00AC6EDC"/>
    <w:rsid w:val="00AC71CE"/>
    <w:rsid w:val="00AD06C7"/>
    <w:rsid w:val="00AD10D0"/>
    <w:rsid w:val="00AD118B"/>
    <w:rsid w:val="00AD122D"/>
    <w:rsid w:val="00AD18F0"/>
    <w:rsid w:val="00AD2F4C"/>
    <w:rsid w:val="00AD7C13"/>
    <w:rsid w:val="00AE0760"/>
    <w:rsid w:val="00AE1D28"/>
    <w:rsid w:val="00AE2370"/>
    <w:rsid w:val="00AE2B96"/>
    <w:rsid w:val="00AE4FC9"/>
    <w:rsid w:val="00AE57DD"/>
    <w:rsid w:val="00AE7175"/>
    <w:rsid w:val="00AE79B8"/>
    <w:rsid w:val="00AF1690"/>
    <w:rsid w:val="00AF4164"/>
    <w:rsid w:val="00AF51AC"/>
    <w:rsid w:val="00AF5F5A"/>
    <w:rsid w:val="00AF665F"/>
    <w:rsid w:val="00B02793"/>
    <w:rsid w:val="00B02F82"/>
    <w:rsid w:val="00B031C7"/>
    <w:rsid w:val="00B03E1C"/>
    <w:rsid w:val="00B0545F"/>
    <w:rsid w:val="00B10C03"/>
    <w:rsid w:val="00B111AC"/>
    <w:rsid w:val="00B11A6E"/>
    <w:rsid w:val="00B13215"/>
    <w:rsid w:val="00B14516"/>
    <w:rsid w:val="00B158F0"/>
    <w:rsid w:val="00B15C62"/>
    <w:rsid w:val="00B160CD"/>
    <w:rsid w:val="00B16418"/>
    <w:rsid w:val="00B164FE"/>
    <w:rsid w:val="00B169C4"/>
    <w:rsid w:val="00B17200"/>
    <w:rsid w:val="00B2017E"/>
    <w:rsid w:val="00B20324"/>
    <w:rsid w:val="00B20434"/>
    <w:rsid w:val="00B218D9"/>
    <w:rsid w:val="00B252BC"/>
    <w:rsid w:val="00B25C1B"/>
    <w:rsid w:val="00B26771"/>
    <w:rsid w:val="00B279FD"/>
    <w:rsid w:val="00B3149F"/>
    <w:rsid w:val="00B31D82"/>
    <w:rsid w:val="00B33455"/>
    <w:rsid w:val="00B337C8"/>
    <w:rsid w:val="00B34971"/>
    <w:rsid w:val="00B3764E"/>
    <w:rsid w:val="00B409F9"/>
    <w:rsid w:val="00B423D5"/>
    <w:rsid w:val="00B423FF"/>
    <w:rsid w:val="00B43C4B"/>
    <w:rsid w:val="00B444BF"/>
    <w:rsid w:val="00B44C21"/>
    <w:rsid w:val="00B45286"/>
    <w:rsid w:val="00B45628"/>
    <w:rsid w:val="00B51EE1"/>
    <w:rsid w:val="00B51FA8"/>
    <w:rsid w:val="00B5281A"/>
    <w:rsid w:val="00B540E8"/>
    <w:rsid w:val="00B55CA4"/>
    <w:rsid w:val="00B570AD"/>
    <w:rsid w:val="00B57D78"/>
    <w:rsid w:val="00B60097"/>
    <w:rsid w:val="00B60771"/>
    <w:rsid w:val="00B612BD"/>
    <w:rsid w:val="00B61CDC"/>
    <w:rsid w:val="00B62206"/>
    <w:rsid w:val="00B62B4E"/>
    <w:rsid w:val="00B62E20"/>
    <w:rsid w:val="00B63AD5"/>
    <w:rsid w:val="00B63FC4"/>
    <w:rsid w:val="00B641D8"/>
    <w:rsid w:val="00B64FB3"/>
    <w:rsid w:val="00B65399"/>
    <w:rsid w:val="00B6595F"/>
    <w:rsid w:val="00B66DC0"/>
    <w:rsid w:val="00B701B0"/>
    <w:rsid w:val="00B70372"/>
    <w:rsid w:val="00B724E8"/>
    <w:rsid w:val="00B74447"/>
    <w:rsid w:val="00B748B8"/>
    <w:rsid w:val="00B75F3F"/>
    <w:rsid w:val="00B75FBC"/>
    <w:rsid w:val="00B77304"/>
    <w:rsid w:val="00B77388"/>
    <w:rsid w:val="00B80AF0"/>
    <w:rsid w:val="00B80FA5"/>
    <w:rsid w:val="00B810DA"/>
    <w:rsid w:val="00B820AD"/>
    <w:rsid w:val="00B83693"/>
    <w:rsid w:val="00B8509F"/>
    <w:rsid w:val="00B854CF"/>
    <w:rsid w:val="00B86CC3"/>
    <w:rsid w:val="00B8762A"/>
    <w:rsid w:val="00B90C47"/>
    <w:rsid w:val="00B9171A"/>
    <w:rsid w:val="00B92F5A"/>
    <w:rsid w:val="00B93AB1"/>
    <w:rsid w:val="00B94CF9"/>
    <w:rsid w:val="00B94EF9"/>
    <w:rsid w:val="00B9604F"/>
    <w:rsid w:val="00B9713B"/>
    <w:rsid w:val="00B97896"/>
    <w:rsid w:val="00BA01C4"/>
    <w:rsid w:val="00BA0217"/>
    <w:rsid w:val="00BA22BF"/>
    <w:rsid w:val="00BA2BE5"/>
    <w:rsid w:val="00BA3E42"/>
    <w:rsid w:val="00BA4BFE"/>
    <w:rsid w:val="00BA63B3"/>
    <w:rsid w:val="00BA6A61"/>
    <w:rsid w:val="00BA7D7D"/>
    <w:rsid w:val="00BA7FD7"/>
    <w:rsid w:val="00BB0713"/>
    <w:rsid w:val="00BB17DA"/>
    <w:rsid w:val="00BB278B"/>
    <w:rsid w:val="00BB3868"/>
    <w:rsid w:val="00BB3D32"/>
    <w:rsid w:val="00BB41ED"/>
    <w:rsid w:val="00BB4746"/>
    <w:rsid w:val="00BB559A"/>
    <w:rsid w:val="00BC099A"/>
    <w:rsid w:val="00BC12DF"/>
    <w:rsid w:val="00BC1D45"/>
    <w:rsid w:val="00BC474B"/>
    <w:rsid w:val="00BC5D7B"/>
    <w:rsid w:val="00BC71BE"/>
    <w:rsid w:val="00BD1059"/>
    <w:rsid w:val="00BD15C7"/>
    <w:rsid w:val="00BD2401"/>
    <w:rsid w:val="00BD3236"/>
    <w:rsid w:val="00BD3552"/>
    <w:rsid w:val="00BD5FA2"/>
    <w:rsid w:val="00BE01BE"/>
    <w:rsid w:val="00BE0FD1"/>
    <w:rsid w:val="00BE2A37"/>
    <w:rsid w:val="00BE3C30"/>
    <w:rsid w:val="00BE5505"/>
    <w:rsid w:val="00BE5EA4"/>
    <w:rsid w:val="00BE6838"/>
    <w:rsid w:val="00BE754E"/>
    <w:rsid w:val="00BE7E09"/>
    <w:rsid w:val="00BF068F"/>
    <w:rsid w:val="00BF14D3"/>
    <w:rsid w:val="00BF2BCD"/>
    <w:rsid w:val="00BF37B2"/>
    <w:rsid w:val="00BF4597"/>
    <w:rsid w:val="00BF75AD"/>
    <w:rsid w:val="00BF76B1"/>
    <w:rsid w:val="00C0184E"/>
    <w:rsid w:val="00C02FE0"/>
    <w:rsid w:val="00C036BC"/>
    <w:rsid w:val="00C047CE"/>
    <w:rsid w:val="00C04A79"/>
    <w:rsid w:val="00C05320"/>
    <w:rsid w:val="00C06948"/>
    <w:rsid w:val="00C07BFB"/>
    <w:rsid w:val="00C117EB"/>
    <w:rsid w:val="00C11D68"/>
    <w:rsid w:val="00C11F10"/>
    <w:rsid w:val="00C12CF9"/>
    <w:rsid w:val="00C14C12"/>
    <w:rsid w:val="00C15395"/>
    <w:rsid w:val="00C15812"/>
    <w:rsid w:val="00C16935"/>
    <w:rsid w:val="00C17029"/>
    <w:rsid w:val="00C172DA"/>
    <w:rsid w:val="00C203FD"/>
    <w:rsid w:val="00C20D24"/>
    <w:rsid w:val="00C21508"/>
    <w:rsid w:val="00C225A0"/>
    <w:rsid w:val="00C227C9"/>
    <w:rsid w:val="00C227CD"/>
    <w:rsid w:val="00C23D92"/>
    <w:rsid w:val="00C24841"/>
    <w:rsid w:val="00C249B7"/>
    <w:rsid w:val="00C24B83"/>
    <w:rsid w:val="00C2602D"/>
    <w:rsid w:val="00C26600"/>
    <w:rsid w:val="00C26937"/>
    <w:rsid w:val="00C27E99"/>
    <w:rsid w:val="00C30833"/>
    <w:rsid w:val="00C30D28"/>
    <w:rsid w:val="00C3100B"/>
    <w:rsid w:val="00C31A42"/>
    <w:rsid w:val="00C337ED"/>
    <w:rsid w:val="00C35050"/>
    <w:rsid w:val="00C3542D"/>
    <w:rsid w:val="00C35EDE"/>
    <w:rsid w:val="00C41B50"/>
    <w:rsid w:val="00C41EE0"/>
    <w:rsid w:val="00C42777"/>
    <w:rsid w:val="00C42BA3"/>
    <w:rsid w:val="00C4397B"/>
    <w:rsid w:val="00C4528A"/>
    <w:rsid w:val="00C46549"/>
    <w:rsid w:val="00C4668B"/>
    <w:rsid w:val="00C46776"/>
    <w:rsid w:val="00C476D8"/>
    <w:rsid w:val="00C50DDC"/>
    <w:rsid w:val="00C5114B"/>
    <w:rsid w:val="00C52C53"/>
    <w:rsid w:val="00C53B71"/>
    <w:rsid w:val="00C558CA"/>
    <w:rsid w:val="00C55E32"/>
    <w:rsid w:val="00C563E7"/>
    <w:rsid w:val="00C570CC"/>
    <w:rsid w:val="00C57FA5"/>
    <w:rsid w:val="00C57FA8"/>
    <w:rsid w:val="00C60245"/>
    <w:rsid w:val="00C6152C"/>
    <w:rsid w:val="00C61BA8"/>
    <w:rsid w:val="00C62BF6"/>
    <w:rsid w:val="00C63E39"/>
    <w:rsid w:val="00C651AB"/>
    <w:rsid w:val="00C651B7"/>
    <w:rsid w:val="00C65BE4"/>
    <w:rsid w:val="00C66334"/>
    <w:rsid w:val="00C67C70"/>
    <w:rsid w:val="00C7051C"/>
    <w:rsid w:val="00C71864"/>
    <w:rsid w:val="00C721FC"/>
    <w:rsid w:val="00C7366A"/>
    <w:rsid w:val="00C74387"/>
    <w:rsid w:val="00C81BD3"/>
    <w:rsid w:val="00C82BF1"/>
    <w:rsid w:val="00C84114"/>
    <w:rsid w:val="00C851CB"/>
    <w:rsid w:val="00C85596"/>
    <w:rsid w:val="00C855C9"/>
    <w:rsid w:val="00C86145"/>
    <w:rsid w:val="00C86EF1"/>
    <w:rsid w:val="00C87581"/>
    <w:rsid w:val="00C87DFE"/>
    <w:rsid w:val="00C90644"/>
    <w:rsid w:val="00C9286A"/>
    <w:rsid w:val="00C943F2"/>
    <w:rsid w:val="00C94743"/>
    <w:rsid w:val="00C95760"/>
    <w:rsid w:val="00C963C4"/>
    <w:rsid w:val="00C9655B"/>
    <w:rsid w:val="00C972B0"/>
    <w:rsid w:val="00CA051E"/>
    <w:rsid w:val="00CA0F94"/>
    <w:rsid w:val="00CA1DC5"/>
    <w:rsid w:val="00CA2776"/>
    <w:rsid w:val="00CA3CEA"/>
    <w:rsid w:val="00CA4F0E"/>
    <w:rsid w:val="00CA5147"/>
    <w:rsid w:val="00CB02AC"/>
    <w:rsid w:val="00CB08B4"/>
    <w:rsid w:val="00CB0D1B"/>
    <w:rsid w:val="00CB42A6"/>
    <w:rsid w:val="00CB4D04"/>
    <w:rsid w:val="00CB74E9"/>
    <w:rsid w:val="00CC0F44"/>
    <w:rsid w:val="00CC0FE3"/>
    <w:rsid w:val="00CC2CD0"/>
    <w:rsid w:val="00CC3053"/>
    <w:rsid w:val="00CC32EB"/>
    <w:rsid w:val="00CC3EA4"/>
    <w:rsid w:val="00CC422B"/>
    <w:rsid w:val="00CC482F"/>
    <w:rsid w:val="00CC5011"/>
    <w:rsid w:val="00CC51C5"/>
    <w:rsid w:val="00CC5BDE"/>
    <w:rsid w:val="00CC5F7F"/>
    <w:rsid w:val="00CC6181"/>
    <w:rsid w:val="00CC62A9"/>
    <w:rsid w:val="00CC7025"/>
    <w:rsid w:val="00CC7143"/>
    <w:rsid w:val="00CD0019"/>
    <w:rsid w:val="00CD0CB4"/>
    <w:rsid w:val="00CD2AEE"/>
    <w:rsid w:val="00CD45AB"/>
    <w:rsid w:val="00CD45F7"/>
    <w:rsid w:val="00CD5203"/>
    <w:rsid w:val="00CD553F"/>
    <w:rsid w:val="00CD580B"/>
    <w:rsid w:val="00CD739F"/>
    <w:rsid w:val="00CE0473"/>
    <w:rsid w:val="00CE1179"/>
    <w:rsid w:val="00CE1F75"/>
    <w:rsid w:val="00CE2320"/>
    <w:rsid w:val="00CE2EB3"/>
    <w:rsid w:val="00CE5922"/>
    <w:rsid w:val="00CE5CB4"/>
    <w:rsid w:val="00CE5E72"/>
    <w:rsid w:val="00CE723F"/>
    <w:rsid w:val="00CE72EB"/>
    <w:rsid w:val="00CE73EA"/>
    <w:rsid w:val="00CF0C1D"/>
    <w:rsid w:val="00CF0F3E"/>
    <w:rsid w:val="00CF1154"/>
    <w:rsid w:val="00CF2931"/>
    <w:rsid w:val="00CF38A1"/>
    <w:rsid w:val="00CF39B8"/>
    <w:rsid w:val="00CF41EF"/>
    <w:rsid w:val="00CF4AFF"/>
    <w:rsid w:val="00CF5A60"/>
    <w:rsid w:val="00CF5DD4"/>
    <w:rsid w:val="00CF5FC6"/>
    <w:rsid w:val="00CF65C2"/>
    <w:rsid w:val="00CF7D02"/>
    <w:rsid w:val="00D06005"/>
    <w:rsid w:val="00D064E1"/>
    <w:rsid w:val="00D0663D"/>
    <w:rsid w:val="00D068AB"/>
    <w:rsid w:val="00D07201"/>
    <w:rsid w:val="00D07719"/>
    <w:rsid w:val="00D10D35"/>
    <w:rsid w:val="00D12968"/>
    <w:rsid w:val="00D13401"/>
    <w:rsid w:val="00D147C1"/>
    <w:rsid w:val="00D15EE3"/>
    <w:rsid w:val="00D16AE8"/>
    <w:rsid w:val="00D17D52"/>
    <w:rsid w:val="00D20CE0"/>
    <w:rsid w:val="00D219FD"/>
    <w:rsid w:val="00D21DB9"/>
    <w:rsid w:val="00D2372C"/>
    <w:rsid w:val="00D24AE5"/>
    <w:rsid w:val="00D25A2D"/>
    <w:rsid w:val="00D30457"/>
    <w:rsid w:val="00D31E34"/>
    <w:rsid w:val="00D31E96"/>
    <w:rsid w:val="00D31F0B"/>
    <w:rsid w:val="00D32E17"/>
    <w:rsid w:val="00D333D0"/>
    <w:rsid w:val="00D36385"/>
    <w:rsid w:val="00D3705C"/>
    <w:rsid w:val="00D372BD"/>
    <w:rsid w:val="00D42573"/>
    <w:rsid w:val="00D43156"/>
    <w:rsid w:val="00D4575C"/>
    <w:rsid w:val="00D46A2E"/>
    <w:rsid w:val="00D47EB4"/>
    <w:rsid w:val="00D50D2C"/>
    <w:rsid w:val="00D50F8A"/>
    <w:rsid w:val="00D511D1"/>
    <w:rsid w:val="00D5150F"/>
    <w:rsid w:val="00D524AE"/>
    <w:rsid w:val="00D53C69"/>
    <w:rsid w:val="00D5447C"/>
    <w:rsid w:val="00D54FBE"/>
    <w:rsid w:val="00D56BD0"/>
    <w:rsid w:val="00D56C6F"/>
    <w:rsid w:val="00D56D8F"/>
    <w:rsid w:val="00D57036"/>
    <w:rsid w:val="00D5783F"/>
    <w:rsid w:val="00D57DD5"/>
    <w:rsid w:val="00D60ED9"/>
    <w:rsid w:val="00D60FD0"/>
    <w:rsid w:val="00D63063"/>
    <w:rsid w:val="00D632CD"/>
    <w:rsid w:val="00D647CB"/>
    <w:rsid w:val="00D64F0B"/>
    <w:rsid w:val="00D654B0"/>
    <w:rsid w:val="00D66AEA"/>
    <w:rsid w:val="00D66F94"/>
    <w:rsid w:val="00D67F4F"/>
    <w:rsid w:val="00D70B5C"/>
    <w:rsid w:val="00D70CD2"/>
    <w:rsid w:val="00D711BF"/>
    <w:rsid w:val="00D71762"/>
    <w:rsid w:val="00D71F81"/>
    <w:rsid w:val="00D72B43"/>
    <w:rsid w:val="00D7336E"/>
    <w:rsid w:val="00D73A86"/>
    <w:rsid w:val="00D74EBF"/>
    <w:rsid w:val="00D7662F"/>
    <w:rsid w:val="00D76BFC"/>
    <w:rsid w:val="00D76D40"/>
    <w:rsid w:val="00D771DD"/>
    <w:rsid w:val="00D835B8"/>
    <w:rsid w:val="00D839DE"/>
    <w:rsid w:val="00D84461"/>
    <w:rsid w:val="00D852AF"/>
    <w:rsid w:val="00D85447"/>
    <w:rsid w:val="00D8673E"/>
    <w:rsid w:val="00D86E1B"/>
    <w:rsid w:val="00D87499"/>
    <w:rsid w:val="00D874CF"/>
    <w:rsid w:val="00D90F42"/>
    <w:rsid w:val="00D9121C"/>
    <w:rsid w:val="00D960E8"/>
    <w:rsid w:val="00D97F1B"/>
    <w:rsid w:val="00DA1D92"/>
    <w:rsid w:val="00DA4D6E"/>
    <w:rsid w:val="00DA4E79"/>
    <w:rsid w:val="00DA6C69"/>
    <w:rsid w:val="00DA723A"/>
    <w:rsid w:val="00DB0F25"/>
    <w:rsid w:val="00DB1702"/>
    <w:rsid w:val="00DB2225"/>
    <w:rsid w:val="00DB2852"/>
    <w:rsid w:val="00DB2AB2"/>
    <w:rsid w:val="00DB3B7E"/>
    <w:rsid w:val="00DB664D"/>
    <w:rsid w:val="00DC0315"/>
    <w:rsid w:val="00DC0416"/>
    <w:rsid w:val="00DC07EC"/>
    <w:rsid w:val="00DC0FB4"/>
    <w:rsid w:val="00DC104D"/>
    <w:rsid w:val="00DC22AB"/>
    <w:rsid w:val="00DC2782"/>
    <w:rsid w:val="00DC2A40"/>
    <w:rsid w:val="00DC33D1"/>
    <w:rsid w:val="00DC34E7"/>
    <w:rsid w:val="00DC3BCF"/>
    <w:rsid w:val="00DC60C3"/>
    <w:rsid w:val="00DC6854"/>
    <w:rsid w:val="00DC73A4"/>
    <w:rsid w:val="00DC7EBE"/>
    <w:rsid w:val="00DD06FB"/>
    <w:rsid w:val="00DD11DC"/>
    <w:rsid w:val="00DD128D"/>
    <w:rsid w:val="00DD1947"/>
    <w:rsid w:val="00DD2B57"/>
    <w:rsid w:val="00DD2F0E"/>
    <w:rsid w:val="00DD40BE"/>
    <w:rsid w:val="00DD69BC"/>
    <w:rsid w:val="00DD6BA9"/>
    <w:rsid w:val="00DD6E1B"/>
    <w:rsid w:val="00DD773E"/>
    <w:rsid w:val="00DE06E8"/>
    <w:rsid w:val="00DE0745"/>
    <w:rsid w:val="00DE0DB2"/>
    <w:rsid w:val="00DE159C"/>
    <w:rsid w:val="00DE37DC"/>
    <w:rsid w:val="00DE3F92"/>
    <w:rsid w:val="00DE68E3"/>
    <w:rsid w:val="00DE7DBD"/>
    <w:rsid w:val="00DF0993"/>
    <w:rsid w:val="00DF4E7B"/>
    <w:rsid w:val="00DF58F3"/>
    <w:rsid w:val="00E02CA5"/>
    <w:rsid w:val="00E03DE5"/>
    <w:rsid w:val="00E0402B"/>
    <w:rsid w:val="00E05197"/>
    <w:rsid w:val="00E05E8F"/>
    <w:rsid w:val="00E0620F"/>
    <w:rsid w:val="00E0649E"/>
    <w:rsid w:val="00E07199"/>
    <w:rsid w:val="00E073D8"/>
    <w:rsid w:val="00E108C7"/>
    <w:rsid w:val="00E11624"/>
    <w:rsid w:val="00E11FB1"/>
    <w:rsid w:val="00E123B6"/>
    <w:rsid w:val="00E1262E"/>
    <w:rsid w:val="00E1370F"/>
    <w:rsid w:val="00E14947"/>
    <w:rsid w:val="00E163A9"/>
    <w:rsid w:val="00E165C8"/>
    <w:rsid w:val="00E178D8"/>
    <w:rsid w:val="00E20A54"/>
    <w:rsid w:val="00E20C3B"/>
    <w:rsid w:val="00E21E8F"/>
    <w:rsid w:val="00E22DCB"/>
    <w:rsid w:val="00E23289"/>
    <w:rsid w:val="00E234F8"/>
    <w:rsid w:val="00E236D3"/>
    <w:rsid w:val="00E246BC"/>
    <w:rsid w:val="00E26903"/>
    <w:rsid w:val="00E26E85"/>
    <w:rsid w:val="00E27C54"/>
    <w:rsid w:val="00E27ECB"/>
    <w:rsid w:val="00E31F27"/>
    <w:rsid w:val="00E323E9"/>
    <w:rsid w:val="00E32674"/>
    <w:rsid w:val="00E327F7"/>
    <w:rsid w:val="00E32DF1"/>
    <w:rsid w:val="00E3312F"/>
    <w:rsid w:val="00E33F9A"/>
    <w:rsid w:val="00E35253"/>
    <w:rsid w:val="00E35326"/>
    <w:rsid w:val="00E37C33"/>
    <w:rsid w:val="00E406EF"/>
    <w:rsid w:val="00E43046"/>
    <w:rsid w:val="00E44174"/>
    <w:rsid w:val="00E455AB"/>
    <w:rsid w:val="00E5210F"/>
    <w:rsid w:val="00E5297F"/>
    <w:rsid w:val="00E53881"/>
    <w:rsid w:val="00E53BEA"/>
    <w:rsid w:val="00E53D8B"/>
    <w:rsid w:val="00E54406"/>
    <w:rsid w:val="00E54FE1"/>
    <w:rsid w:val="00E551AC"/>
    <w:rsid w:val="00E55C86"/>
    <w:rsid w:val="00E56C68"/>
    <w:rsid w:val="00E57AAE"/>
    <w:rsid w:val="00E617FF"/>
    <w:rsid w:val="00E619F8"/>
    <w:rsid w:val="00E622AC"/>
    <w:rsid w:val="00E62FF6"/>
    <w:rsid w:val="00E64C31"/>
    <w:rsid w:val="00E65653"/>
    <w:rsid w:val="00E66E9A"/>
    <w:rsid w:val="00E6792A"/>
    <w:rsid w:val="00E70B7C"/>
    <w:rsid w:val="00E70CA5"/>
    <w:rsid w:val="00E70F46"/>
    <w:rsid w:val="00E711D4"/>
    <w:rsid w:val="00E723A5"/>
    <w:rsid w:val="00E73C7A"/>
    <w:rsid w:val="00E74046"/>
    <w:rsid w:val="00E756E2"/>
    <w:rsid w:val="00E75D4B"/>
    <w:rsid w:val="00E75E17"/>
    <w:rsid w:val="00E7613F"/>
    <w:rsid w:val="00E776F4"/>
    <w:rsid w:val="00E77D0E"/>
    <w:rsid w:val="00E806B3"/>
    <w:rsid w:val="00E807B7"/>
    <w:rsid w:val="00E81027"/>
    <w:rsid w:val="00E817A6"/>
    <w:rsid w:val="00E8196A"/>
    <w:rsid w:val="00E82ACD"/>
    <w:rsid w:val="00E82B36"/>
    <w:rsid w:val="00E83615"/>
    <w:rsid w:val="00E85DE9"/>
    <w:rsid w:val="00E8639C"/>
    <w:rsid w:val="00E87848"/>
    <w:rsid w:val="00E90AFD"/>
    <w:rsid w:val="00E9125F"/>
    <w:rsid w:val="00E91C97"/>
    <w:rsid w:val="00E924C2"/>
    <w:rsid w:val="00E93110"/>
    <w:rsid w:val="00E94461"/>
    <w:rsid w:val="00E95144"/>
    <w:rsid w:val="00E95C4F"/>
    <w:rsid w:val="00E95D45"/>
    <w:rsid w:val="00E961D3"/>
    <w:rsid w:val="00E9709E"/>
    <w:rsid w:val="00E97EA6"/>
    <w:rsid w:val="00EA0F5B"/>
    <w:rsid w:val="00EA0FF7"/>
    <w:rsid w:val="00EA1735"/>
    <w:rsid w:val="00EA1A5D"/>
    <w:rsid w:val="00EA1AE1"/>
    <w:rsid w:val="00EA1EE5"/>
    <w:rsid w:val="00EA3131"/>
    <w:rsid w:val="00EA3B09"/>
    <w:rsid w:val="00EA3E70"/>
    <w:rsid w:val="00EA4B66"/>
    <w:rsid w:val="00EA5E51"/>
    <w:rsid w:val="00EA5EF1"/>
    <w:rsid w:val="00EA5FBC"/>
    <w:rsid w:val="00EA7D3F"/>
    <w:rsid w:val="00EA7F8E"/>
    <w:rsid w:val="00EB089E"/>
    <w:rsid w:val="00EB23D0"/>
    <w:rsid w:val="00EB2465"/>
    <w:rsid w:val="00EB27BB"/>
    <w:rsid w:val="00EB4483"/>
    <w:rsid w:val="00EB4A3E"/>
    <w:rsid w:val="00EB4F3E"/>
    <w:rsid w:val="00EB576F"/>
    <w:rsid w:val="00EB5BC8"/>
    <w:rsid w:val="00EB691C"/>
    <w:rsid w:val="00EB7171"/>
    <w:rsid w:val="00EC04AE"/>
    <w:rsid w:val="00EC0800"/>
    <w:rsid w:val="00EC116B"/>
    <w:rsid w:val="00EC2286"/>
    <w:rsid w:val="00EC47F7"/>
    <w:rsid w:val="00EC5779"/>
    <w:rsid w:val="00EC5834"/>
    <w:rsid w:val="00EC60D9"/>
    <w:rsid w:val="00EC62A9"/>
    <w:rsid w:val="00EC6787"/>
    <w:rsid w:val="00EC6F70"/>
    <w:rsid w:val="00EC748D"/>
    <w:rsid w:val="00ED21CE"/>
    <w:rsid w:val="00ED2323"/>
    <w:rsid w:val="00ED234E"/>
    <w:rsid w:val="00ED2424"/>
    <w:rsid w:val="00ED2711"/>
    <w:rsid w:val="00ED3DE4"/>
    <w:rsid w:val="00ED3E98"/>
    <w:rsid w:val="00ED5E66"/>
    <w:rsid w:val="00ED6082"/>
    <w:rsid w:val="00ED697B"/>
    <w:rsid w:val="00ED6A76"/>
    <w:rsid w:val="00ED6E30"/>
    <w:rsid w:val="00EE0247"/>
    <w:rsid w:val="00EE02E9"/>
    <w:rsid w:val="00EE0859"/>
    <w:rsid w:val="00EE0E74"/>
    <w:rsid w:val="00EE1E06"/>
    <w:rsid w:val="00EE202F"/>
    <w:rsid w:val="00EE2529"/>
    <w:rsid w:val="00EE2774"/>
    <w:rsid w:val="00EE3102"/>
    <w:rsid w:val="00EE322A"/>
    <w:rsid w:val="00EE3885"/>
    <w:rsid w:val="00EE3CA4"/>
    <w:rsid w:val="00EE736B"/>
    <w:rsid w:val="00EF009A"/>
    <w:rsid w:val="00EF057C"/>
    <w:rsid w:val="00EF1342"/>
    <w:rsid w:val="00EF2041"/>
    <w:rsid w:val="00EF246D"/>
    <w:rsid w:val="00EF6CD9"/>
    <w:rsid w:val="00EF756F"/>
    <w:rsid w:val="00EF7C26"/>
    <w:rsid w:val="00F002D4"/>
    <w:rsid w:val="00F02485"/>
    <w:rsid w:val="00F0332B"/>
    <w:rsid w:val="00F038DC"/>
    <w:rsid w:val="00F03A31"/>
    <w:rsid w:val="00F053A7"/>
    <w:rsid w:val="00F05550"/>
    <w:rsid w:val="00F05741"/>
    <w:rsid w:val="00F06D3D"/>
    <w:rsid w:val="00F07753"/>
    <w:rsid w:val="00F079EC"/>
    <w:rsid w:val="00F10511"/>
    <w:rsid w:val="00F10535"/>
    <w:rsid w:val="00F11884"/>
    <w:rsid w:val="00F12E8E"/>
    <w:rsid w:val="00F14D75"/>
    <w:rsid w:val="00F1508C"/>
    <w:rsid w:val="00F16AAB"/>
    <w:rsid w:val="00F173DF"/>
    <w:rsid w:val="00F1753A"/>
    <w:rsid w:val="00F17EA1"/>
    <w:rsid w:val="00F201DB"/>
    <w:rsid w:val="00F21A62"/>
    <w:rsid w:val="00F224F2"/>
    <w:rsid w:val="00F24382"/>
    <w:rsid w:val="00F256B0"/>
    <w:rsid w:val="00F25E18"/>
    <w:rsid w:val="00F27031"/>
    <w:rsid w:val="00F31207"/>
    <w:rsid w:val="00F31836"/>
    <w:rsid w:val="00F31A10"/>
    <w:rsid w:val="00F3204B"/>
    <w:rsid w:val="00F34DB7"/>
    <w:rsid w:val="00F36A3E"/>
    <w:rsid w:val="00F37E1F"/>
    <w:rsid w:val="00F408FF"/>
    <w:rsid w:val="00F43161"/>
    <w:rsid w:val="00F4320D"/>
    <w:rsid w:val="00F43591"/>
    <w:rsid w:val="00F45027"/>
    <w:rsid w:val="00F45ABC"/>
    <w:rsid w:val="00F4620E"/>
    <w:rsid w:val="00F4749B"/>
    <w:rsid w:val="00F5010E"/>
    <w:rsid w:val="00F537D2"/>
    <w:rsid w:val="00F54AF4"/>
    <w:rsid w:val="00F5551A"/>
    <w:rsid w:val="00F55D14"/>
    <w:rsid w:val="00F56A6E"/>
    <w:rsid w:val="00F601FA"/>
    <w:rsid w:val="00F609D2"/>
    <w:rsid w:val="00F62B33"/>
    <w:rsid w:val="00F6371E"/>
    <w:rsid w:val="00F64590"/>
    <w:rsid w:val="00F6460B"/>
    <w:rsid w:val="00F64A69"/>
    <w:rsid w:val="00F658B7"/>
    <w:rsid w:val="00F673FD"/>
    <w:rsid w:val="00F67480"/>
    <w:rsid w:val="00F67614"/>
    <w:rsid w:val="00F7007C"/>
    <w:rsid w:val="00F71C16"/>
    <w:rsid w:val="00F73148"/>
    <w:rsid w:val="00F74D0F"/>
    <w:rsid w:val="00F7621A"/>
    <w:rsid w:val="00F76812"/>
    <w:rsid w:val="00F809C1"/>
    <w:rsid w:val="00F80B85"/>
    <w:rsid w:val="00F81B28"/>
    <w:rsid w:val="00F831AB"/>
    <w:rsid w:val="00F833F7"/>
    <w:rsid w:val="00F83587"/>
    <w:rsid w:val="00F847D0"/>
    <w:rsid w:val="00F86F5A"/>
    <w:rsid w:val="00F87F83"/>
    <w:rsid w:val="00F920C1"/>
    <w:rsid w:val="00F92CB4"/>
    <w:rsid w:val="00F94ECC"/>
    <w:rsid w:val="00F9599A"/>
    <w:rsid w:val="00F95BC7"/>
    <w:rsid w:val="00F95C5F"/>
    <w:rsid w:val="00F973C1"/>
    <w:rsid w:val="00F975A4"/>
    <w:rsid w:val="00F97C3B"/>
    <w:rsid w:val="00FA1080"/>
    <w:rsid w:val="00FA2282"/>
    <w:rsid w:val="00FA4937"/>
    <w:rsid w:val="00FA729D"/>
    <w:rsid w:val="00FB0AD9"/>
    <w:rsid w:val="00FB0B0E"/>
    <w:rsid w:val="00FB192E"/>
    <w:rsid w:val="00FB1FC5"/>
    <w:rsid w:val="00FB1FCF"/>
    <w:rsid w:val="00FB205F"/>
    <w:rsid w:val="00FB23B3"/>
    <w:rsid w:val="00FB3A02"/>
    <w:rsid w:val="00FB3B90"/>
    <w:rsid w:val="00FB5775"/>
    <w:rsid w:val="00FB7937"/>
    <w:rsid w:val="00FB7F9C"/>
    <w:rsid w:val="00FC1D5F"/>
    <w:rsid w:val="00FC1EBE"/>
    <w:rsid w:val="00FC2E16"/>
    <w:rsid w:val="00FC41AA"/>
    <w:rsid w:val="00FC5415"/>
    <w:rsid w:val="00FC7F49"/>
    <w:rsid w:val="00FD0E53"/>
    <w:rsid w:val="00FD329F"/>
    <w:rsid w:val="00FD4693"/>
    <w:rsid w:val="00FE05D3"/>
    <w:rsid w:val="00FE0B32"/>
    <w:rsid w:val="00FE10B1"/>
    <w:rsid w:val="00FE14AD"/>
    <w:rsid w:val="00FE347B"/>
    <w:rsid w:val="00FE433D"/>
    <w:rsid w:val="00FE51E0"/>
    <w:rsid w:val="00FE5720"/>
    <w:rsid w:val="00FE7BD1"/>
    <w:rsid w:val="00FF089B"/>
    <w:rsid w:val="00FF0A50"/>
    <w:rsid w:val="00FF0C53"/>
    <w:rsid w:val="00FF0FFA"/>
    <w:rsid w:val="00FF1C78"/>
    <w:rsid w:val="00FF300E"/>
    <w:rsid w:val="00FF3162"/>
    <w:rsid w:val="00FF5426"/>
    <w:rsid w:val="00FF5859"/>
    <w:rsid w:val="00FF5CAB"/>
    <w:rsid w:val="00FF706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264DF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03E"/>
  </w:style>
  <w:style w:type="paragraph" w:styleId="Heading1">
    <w:name w:val="heading 1"/>
    <w:basedOn w:val="Normal"/>
    <w:next w:val="BodyText"/>
    <w:link w:val="Heading1Char"/>
    <w:uiPriority w:val="9"/>
    <w:qFormat/>
    <w:rsid w:val="008004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BodyText"/>
    <w:link w:val="Heading2Char"/>
    <w:uiPriority w:val="9"/>
    <w:semiHidden/>
    <w:unhideWhenUsed/>
    <w:qFormat/>
    <w:rsid w:val="00AB2F92"/>
    <w:pPr>
      <w:spacing w:before="40"/>
      <w:outlineLvl w:val="1"/>
    </w:pPr>
    <w:rPr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semiHidden/>
    <w:unhideWhenUsed/>
    <w:qFormat/>
    <w:rsid w:val="00800483"/>
    <w:pPr>
      <w:outlineLvl w:val="2"/>
    </w:pPr>
    <w:rPr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800483"/>
    <w:pPr>
      <w:outlineLvl w:val="3"/>
    </w:pPr>
    <w:rPr>
      <w:i/>
      <w:iCs/>
      <w:color w:val="365F91" w:themeColor="accent1" w:themeShade="BF"/>
      <w:sz w:val="22"/>
      <w:szCs w:val="22"/>
    </w:rPr>
  </w:style>
  <w:style w:type="paragraph" w:styleId="Heading5">
    <w:name w:val="heading 5"/>
    <w:basedOn w:val="Heading4"/>
    <w:next w:val="Normal"/>
    <w:link w:val="Heading5Char"/>
    <w:uiPriority w:val="9"/>
    <w:semiHidden/>
    <w:unhideWhenUsed/>
    <w:qFormat/>
    <w:rsid w:val="00800483"/>
    <w:pPr>
      <w:outlineLvl w:val="4"/>
    </w:pPr>
    <w:rPr>
      <w:i w:val="0"/>
      <w:iCs w:val="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04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048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048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048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74A"/>
  </w:style>
  <w:style w:type="paragraph" w:styleId="Footer">
    <w:name w:val="footer"/>
    <w:basedOn w:val="Normal"/>
    <w:link w:val="FooterChar"/>
    <w:uiPriority w:val="99"/>
    <w:unhideWhenUsed/>
    <w:rsid w:val="007E7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74A"/>
  </w:style>
  <w:style w:type="paragraph" w:styleId="ListParagraph">
    <w:name w:val="List Paragraph"/>
    <w:basedOn w:val="Normal"/>
    <w:link w:val="ListParagraphChar"/>
    <w:uiPriority w:val="34"/>
    <w:qFormat/>
    <w:rsid w:val="00DB1702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37525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37525"/>
  </w:style>
  <w:style w:type="character" w:customStyle="1" w:styleId="EndNoteBibliographyTitleChar">
    <w:name w:val="EndNote Bibliography Title Char"/>
    <w:basedOn w:val="ListParagraphChar"/>
    <w:link w:val="EndNoteBibliographyTitle"/>
    <w:rsid w:val="00837525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837525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ListParagraphChar"/>
    <w:link w:val="EndNoteBibliography"/>
    <w:rsid w:val="00837525"/>
    <w:rPr>
      <w:rFonts w:ascii="Times New Roman" w:hAnsi="Times New Roman" w:cs="Times New Roman"/>
      <w:noProof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F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D0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91D6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60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0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0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1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19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B7FF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004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F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04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048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048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04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04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4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4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unhideWhenUsed/>
    <w:rsid w:val="008004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0483"/>
  </w:style>
  <w:style w:type="paragraph" w:styleId="Caption">
    <w:name w:val="caption"/>
    <w:aliases w:val="chris Caption"/>
    <w:basedOn w:val="Normal"/>
    <w:next w:val="BodyText"/>
    <w:link w:val="CaptionChar"/>
    <w:uiPriority w:val="35"/>
    <w:semiHidden/>
    <w:unhideWhenUsed/>
    <w:qFormat/>
    <w:rsid w:val="008529E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chris Caption Char"/>
    <w:link w:val="Caption"/>
    <w:uiPriority w:val="35"/>
    <w:semiHidden/>
    <w:rsid w:val="008529EB"/>
    <w:rPr>
      <w:i/>
      <w:iCs/>
      <w:color w:val="1F497D" w:themeColor="text2"/>
      <w:sz w:val="18"/>
      <w:szCs w:val="18"/>
    </w:rPr>
  </w:style>
  <w:style w:type="character" w:styleId="Emphasis">
    <w:name w:val="Emphasis"/>
    <w:uiPriority w:val="20"/>
    <w:qFormat/>
    <w:rsid w:val="00DA4D6E"/>
    <w:rPr>
      <w:i/>
      <w:iCs/>
    </w:rPr>
  </w:style>
  <w:style w:type="character" w:customStyle="1" w:styleId="st">
    <w:name w:val="st"/>
    <w:basedOn w:val="DefaultParagraphFont"/>
    <w:rsid w:val="00FA1080"/>
  </w:style>
  <w:style w:type="character" w:styleId="Hyperlink">
    <w:name w:val="Hyperlink"/>
    <w:basedOn w:val="DefaultParagraphFont"/>
    <w:uiPriority w:val="99"/>
    <w:unhideWhenUsed/>
    <w:rsid w:val="003B56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56F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D5E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91796A"/>
  </w:style>
  <w:style w:type="character" w:customStyle="1" w:styleId="ms-submitted-date">
    <w:name w:val="ms-submitted-date"/>
    <w:basedOn w:val="DefaultParagraphFont"/>
    <w:rsid w:val="0091796A"/>
  </w:style>
  <w:style w:type="character" w:customStyle="1" w:styleId="cit">
    <w:name w:val="cit"/>
    <w:basedOn w:val="DefaultParagraphFont"/>
    <w:rsid w:val="0091796A"/>
  </w:style>
  <w:style w:type="character" w:customStyle="1" w:styleId="ref-journal">
    <w:name w:val="ref-journal"/>
    <w:basedOn w:val="DefaultParagraphFont"/>
    <w:rsid w:val="006C1368"/>
  </w:style>
  <w:style w:type="character" w:customStyle="1" w:styleId="ref-vol">
    <w:name w:val="ref-vol"/>
    <w:basedOn w:val="DefaultParagraphFont"/>
    <w:rsid w:val="006C1368"/>
  </w:style>
  <w:style w:type="character" w:customStyle="1" w:styleId="highlight">
    <w:name w:val="highlight"/>
    <w:basedOn w:val="DefaultParagraphFont"/>
    <w:rsid w:val="00720B67"/>
  </w:style>
  <w:style w:type="character" w:customStyle="1" w:styleId="Mention1">
    <w:name w:val="Mention1"/>
    <w:basedOn w:val="DefaultParagraphFont"/>
    <w:uiPriority w:val="99"/>
    <w:semiHidden/>
    <w:unhideWhenUsed/>
    <w:rsid w:val="00FF542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58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04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938B5-1C93-43E1-96C0-75D971D8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1721</Words>
  <Characters>9814</Characters>
  <Application>Microsoft Office Word</Application>
  <DocSecurity>4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2018-07-26T17:05:00Z</dcterms:created>
  <dcterms:modified xsi:type="dcterms:W3CDTF">2018-07-26T17:05:00Z</dcterms:modified>
</cp:coreProperties>
</file>