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CAF" w:rsidRDefault="00D4384D">
      <w:pPr>
        <w:rPr>
          <w:b/>
        </w:rPr>
      </w:pPr>
      <w:bookmarkStart w:id="0" w:name="_GoBack"/>
      <w:bookmarkEnd w:id="0"/>
      <w:r>
        <w:rPr>
          <w:b/>
        </w:rPr>
        <w:t xml:space="preserve">S2 </w:t>
      </w:r>
      <w:r w:rsidR="00A10B85">
        <w:rPr>
          <w:b/>
        </w:rPr>
        <w:t>Table. Rate of decline in specific cognitive functions by baseline impairment status.</w:t>
      </w:r>
    </w:p>
    <w:p w:rsidR="00A10B85" w:rsidRDefault="00A10B85">
      <w:pPr>
        <w:rPr>
          <w:b/>
        </w:rPr>
      </w:pPr>
    </w:p>
    <w:tbl>
      <w:tblPr>
        <w:tblW w:w="12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8"/>
        <w:gridCol w:w="990"/>
        <w:gridCol w:w="1530"/>
        <w:gridCol w:w="1170"/>
        <w:gridCol w:w="1536"/>
        <w:gridCol w:w="894"/>
        <w:gridCol w:w="1080"/>
        <w:gridCol w:w="1080"/>
        <w:gridCol w:w="1260"/>
      </w:tblGrid>
      <w:tr w:rsidR="00970CAF">
        <w:trPr>
          <w:cantSplit/>
        </w:trPr>
        <w:tc>
          <w:tcPr>
            <w:tcW w:w="2808" w:type="dxa"/>
            <w:vMerge w:val="restart"/>
          </w:tcPr>
          <w:p w:rsidR="00970CAF" w:rsidRDefault="00970CAF">
            <w:pPr>
              <w:tabs>
                <w:tab w:val="left" w:pos="11775"/>
              </w:tabs>
              <w:rPr>
                <w:b/>
              </w:rPr>
            </w:pPr>
          </w:p>
        </w:tc>
        <w:tc>
          <w:tcPr>
            <w:tcW w:w="5226" w:type="dxa"/>
            <w:gridSpan w:val="4"/>
          </w:tcPr>
          <w:p w:rsidR="00970CAF" w:rsidRDefault="00D4384D">
            <w:pPr>
              <w:tabs>
                <w:tab w:val="left" w:pos="11775"/>
              </w:tabs>
              <w:jc w:val="center"/>
              <w:rPr>
                <w:b/>
              </w:rPr>
            </w:pPr>
            <w:r>
              <w:rPr>
                <w:b/>
              </w:rPr>
              <w:t>Gait/balance component of physical performance</w:t>
            </w:r>
          </w:p>
        </w:tc>
        <w:tc>
          <w:tcPr>
            <w:tcW w:w="4314" w:type="dxa"/>
            <w:gridSpan w:val="4"/>
          </w:tcPr>
          <w:p w:rsidR="00970CAF" w:rsidRDefault="00D4384D">
            <w:pPr>
              <w:tabs>
                <w:tab w:val="left" w:pos="11775"/>
              </w:tabs>
              <w:jc w:val="center"/>
              <w:rPr>
                <w:b/>
              </w:rPr>
            </w:pPr>
            <w:r>
              <w:rPr>
                <w:b/>
              </w:rPr>
              <w:t>Non-gait component of physical performance</w:t>
            </w:r>
          </w:p>
        </w:tc>
      </w:tr>
      <w:tr w:rsidR="00970CAF">
        <w:trPr>
          <w:cantSplit/>
        </w:trPr>
        <w:tc>
          <w:tcPr>
            <w:tcW w:w="2808" w:type="dxa"/>
            <w:vMerge/>
          </w:tcPr>
          <w:p w:rsidR="00970CAF" w:rsidRDefault="00970CAF">
            <w:pPr>
              <w:tabs>
                <w:tab w:val="left" w:pos="11775"/>
              </w:tabs>
              <w:rPr>
                <w:b/>
              </w:rPr>
            </w:pPr>
          </w:p>
        </w:tc>
        <w:tc>
          <w:tcPr>
            <w:tcW w:w="990" w:type="dxa"/>
          </w:tcPr>
          <w:p w:rsidR="00970CAF" w:rsidRDefault="00D4384D">
            <w:pPr>
              <w:tabs>
                <w:tab w:val="left" w:pos="11775"/>
              </w:tabs>
              <w:jc w:val="center"/>
              <w:rPr>
                <w:b/>
              </w:rPr>
            </w:pPr>
            <w:r>
              <w:rPr>
                <w:b/>
              </w:rPr>
              <w:t>NI</w:t>
            </w:r>
          </w:p>
        </w:tc>
        <w:tc>
          <w:tcPr>
            <w:tcW w:w="1530" w:type="dxa"/>
          </w:tcPr>
          <w:p w:rsidR="00970CAF" w:rsidRDefault="00D4384D">
            <w:pPr>
              <w:tabs>
                <w:tab w:val="left" w:pos="11775"/>
              </w:tabs>
              <w:jc w:val="center"/>
              <w:rPr>
                <w:b/>
              </w:rPr>
            </w:pPr>
            <w:r>
              <w:rPr>
                <w:b/>
              </w:rPr>
              <w:t>PI</w:t>
            </w:r>
          </w:p>
        </w:tc>
        <w:tc>
          <w:tcPr>
            <w:tcW w:w="1170" w:type="dxa"/>
          </w:tcPr>
          <w:p w:rsidR="00970CAF" w:rsidRDefault="00D4384D">
            <w:pPr>
              <w:tabs>
                <w:tab w:val="left" w:pos="11775"/>
              </w:tabs>
              <w:jc w:val="center"/>
              <w:rPr>
                <w:b/>
              </w:rPr>
            </w:pPr>
            <w:r>
              <w:rPr>
                <w:b/>
              </w:rPr>
              <w:t>CI</w:t>
            </w:r>
          </w:p>
        </w:tc>
        <w:tc>
          <w:tcPr>
            <w:tcW w:w="1536" w:type="dxa"/>
          </w:tcPr>
          <w:p w:rsidR="00970CAF" w:rsidRDefault="00D4384D">
            <w:pPr>
              <w:tabs>
                <w:tab w:val="left" w:pos="11775"/>
              </w:tabs>
              <w:jc w:val="center"/>
              <w:rPr>
                <w:b/>
              </w:rPr>
            </w:pPr>
            <w:r>
              <w:rPr>
                <w:b/>
              </w:rPr>
              <w:t>CPI</w:t>
            </w:r>
          </w:p>
        </w:tc>
        <w:tc>
          <w:tcPr>
            <w:tcW w:w="894" w:type="dxa"/>
          </w:tcPr>
          <w:p w:rsidR="00970CAF" w:rsidRDefault="00D4384D">
            <w:pPr>
              <w:tabs>
                <w:tab w:val="left" w:pos="11775"/>
              </w:tabs>
              <w:jc w:val="center"/>
              <w:rPr>
                <w:b/>
              </w:rPr>
            </w:pPr>
            <w:r>
              <w:rPr>
                <w:b/>
              </w:rPr>
              <w:t>NI</w:t>
            </w:r>
          </w:p>
        </w:tc>
        <w:tc>
          <w:tcPr>
            <w:tcW w:w="1080" w:type="dxa"/>
          </w:tcPr>
          <w:p w:rsidR="00970CAF" w:rsidRDefault="00D4384D">
            <w:pPr>
              <w:tabs>
                <w:tab w:val="left" w:pos="11775"/>
              </w:tabs>
              <w:jc w:val="center"/>
              <w:rPr>
                <w:b/>
              </w:rPr>
            </w:pPr>
            <w:r>
              <w:rPr>
                <w:b/>
              </w:rPr>
              <w:t>PI</w:t>
            </w:r>
          </w:p>
        </w:tc>
        <w:tc>
          <w:tcPr>
            <w:tcW w:w="1080" w:type="dxa"/>
          </w:tcPr>
          <w:p w:rsidR="00970CAF" w:rsidRDefault="00D4384D">
            <w:pPr>
              <w:tabs>
                <w:tab w:val="left" w:pos="11775"/>
              </w:tabs>
              <w:jc w:val="center"/>
              <w:rPr>
                <w:b/>
              </w:rPr>
            </w:pPr>
            <w:r>
              <w:rPr>
                <w:b/>
              </w:rPr>
              <w:t>CI</w:t>
            </w:r>
          </w:p>
        </w:tc>
        <w:tc>
          <w:tcPr>
            <w:tcW w:w="1260" w:type="dxa"/>
          </w:tcPr>
          <w:p w:rsidR="00970CAF" w:rsidRDefault="00D4384D">
            <w:pPr>
              <w:tabs>
                <w:tab w:val="left" w:pos="11775"/>
              </w:tabs>
              <w:jc w:val="center"/>
              <w:rPr>
                <w:b/>
              </w:rPr>
            </w:pPr>
            <w:r>
              <w:rPr>
                <w:b/>
              </w:rPr>
              <w:t>CPI</w:t>
            </w:r>
          </w:p>
        </w:tc>
      </w:tr>
      <w:tr w:rsidR="00970CAF">
        <w:trPr>
          <w:cantSplit/>
        </w:trPr>
        <w:tc>
          <w:tcPr>
            <w:tcW w:w="2808" w:type="dxa"/>
            <w:vMerge/>
          </w:tcPr>
          <w:p w:rsidR="00970CAF" w:rsidRDefault="00970CAF">
            <w:pPr>
              <w:tabs>
                <w:tab w:val="left" w:pos="11775"/>
              </w:tabs>
              <w:rPr>
                <w:b/>
              </w:rPr>
            </w:pPr>
          </w:p>
        </w:tc>
        <w:tc>
          <w:tcPr>
            <w:tcW w:w="990" w:type="dxa"/>
          </w:tcPr>
          <w:p w:rsidR="00970CAF" w:rsidRDefault="00970CAF">
            <w:pPr>
              <w:tabs>
                <w:tab w:val="left" w:pos="11775"/>
              </w:tabs>
              <w:jc w:val="center"/>
            </w:pPr>
          </w:p>
        </w:tc>
        <w:tc>
          <w:tcPr>
            <w:tcW w:w="1530" w:type="dxa"/>
          </w:tcPr>
          <w:p w:rsidR="00970CAF" w:rsidRDefault="00D4384D">
            <w:pPr>
              <w:tabs>
                <w:tab w:val="left" w:pos="11775"/>
              </w:tabs>
              <w:jc w:val="center"/>
            </w:pPr>
            <w:r>
              <w:t>Slope</w:t>
            </w:r>
          </w:p>
          <w:p w:rsidR="00970CAF" w:rsidRDefault="00D4384D">
            <w:pPr>
              <w:tabs>
                <w:tab w:val="left" w:pos="11775"/>
              </w:tabs>
              <w:jc w:val="center"/>
            </w:pPr>
            <w:r>
              <w:t>(p value)</w:t>
            </w:r>
          </w:p>
        </w:tc>
        <w:tc>
          <w:tcPr>
            <w:tcW w:w="1170" w:type="dxa"/>
          </w:tcPr>
          <w:p w:rsidR="00970CAF" w:rsidRDefault="00D4384D">
            <w:pPr>
              <w:tabs>
                <w:tab w:val="left" w:pos="11775"/>
              </w:tabs>
              <w:jc w:val="center"/>
            </w:pPr>
            <w:r>
              <w:t>Slope</w:t>
            </w:r>
          </w:p>
          <w:p w:rsidR="00970CAF" w:rsidRDefault="00D4384D">
            <w:pPr>
              <w:tabs>
                <w:tab w:val="left" w:pos="11775"/>
              </w:tabs>
              <w:jc w:val="center"/>
            </w:pPr>
            <w:r>
              <w:t>(p value)</w:t>
            </w:r>
          </w:p>
        </w:tc>
        <w:tc>
          <w:tcPr>
            <w:tcW w:w="1536" w:type="dxa"/>
          </w:tcPr>
          <w:p w:rsidR="00970CAF" w:rsidRDefault="00D4384D">
            <w:pPr>
              <w:tabs>
                <w:tab w:val="left" w:pos="11775"/>
              </w:tabs>
              <w:jc w:val="center"/>
            </w:pPr>
            <w:r>
              <w:t>Slope</w:t>
            </w:r>
          </w:p>
          <w:p w:rsidR="00970CAF" w:rsidRDefault="00D4384D">
            <w:pPr>
              <w:tabs>
                <w:tab w:val="left" w:pos="11775"/>
              </w:tabs>
              <w:jc w:val="center"/>
            </w:pPr>
            <w:r>
              <w:t>(p value)</w:t>
            </w:r>
          </w:p>
        </w:tc>
        <w:tc>
          <w:tcPr>
            <w:tcW w:w="894" w:type="dxa"/>
          </w:tcPr>
          <w:p w:rsidR="00970CAF" w:rsidRDefault="00970CAF">
            <w:pPr>
              <w:tabs>
                <w:tab w:val="left" w:pos="11775"/>
              </w:tabs>
              <w:jc w:val="center"/>
            </w:pPr>
          </w:p>
        </w:tc>
        <w:tc>
          <w:tcPr>
            <w:tcW w:w="1080" w:type="dxa"/>
          </w:tcPr>
          <w:p w:rsidR="00970CAF" w:rsidRDefault="00D4384D">
            <w:pPr>
              <w:tabs>
                <w:tab w:val="left" w:pos="11775"/>
              </w:tabs>
              <w:jc w:val="center"/>
            </w:pPr>
            <w:r>
              <w:t>Slope</w:t>
            </w:r>
          </w:p>
          <w:p w:rsidR="00970CAF" w:rsidRDefault="00D4384D">
            <w:pPr>
              <w:tabs>
                <w:tab w:val="left" w:pos="11775"/>
              </w:tabs>
              <w:jc w:val="center"/>
            </w:pPr>
            <w:r>
              <w:t>(p value)</w:t>
            </w:r>
          </w:p>
        </w:tc>
        <w:tc>
          <w:tcPr>
            <w:tcW w:w="1080" w:type="dxa"/>
          </w:tcPr>
          <w:p w:rsidR="00970CAF" w:rsidRDefault="00D4384D">
            <w:pPr>
              <w:tabs>
                <w:tab w:val="left" w:pos="11775"/>
              </w:tabs>
              <w:jc w:val="center"/>
            </w:pPr>
            <w:r>
              <w:t>Slope</w:t>
            </w:r>
          </w:p>
          <w:p w:rsidR="00970CAF" w:rsidRDefault="00D4384D">
            <w:pPr>
              <w:tabs>
                <w:tab w:val="left" w:pos="11775"/>
              </w:tabs>
              <w:jc w:val="center"/>
            </w:pPr>
            <w:r>
              <w:t>(p value)</w:t>
            </w:r>
          </w:p>
        </w:tc>
        <w:tc>
          <w:tcPr>
            <w:tcW w:w="1260" w:type="dxa"/>
          </w:tcPr>
          <w:p w:rsidR="00970CAF" w:rsidRDefault="00D4384D">
            <w:pPr>
              <w:tabs>
                <w:tab w:val="left" w:pos="11775"/>
              </w:tabs>
              <w:jc w:val="center"/>
            </w:pPr>
            <w:r>
              <w:t>Slope</w:t>
            </w:r>
          </w:p>
          <w:p w:rsidR="00970CAF" w:rsidRDefault="00D4384D">
            <w:pPr>
              <w:tabs>
                <w:tab w:val="left" w:pos="11775"/>
              </w:tabs>
              <w:jc w:val="center"/>
            </w:pPr>
            <w:r>
              <w:t>(p value)</w:t>
            </w:r>
          </w:p>
        </w:tc>
      </w:tr>
      <w:tr w:rsidR="00970CAF">
        <w:tc>
          <w:tcPr>
            <w:tcW w:w="2808" w:type="dxa"/>
          </w:tcPr>
          <w:p w:rsidR="00970CAF" w:rsidRDefault="00D4384D">
            <w:pPr>
              <w:tabs>
                <w:tab w:val="left" w:pos="11775"/>
              </w:tabs>
              <w:rPr>
                <w:b/>
              </w:rPr>
            </w:pPr>
            <w:r>
              <w:rPr>
                <w:b/>
              </w:rPr>
              <w:t>CDR-SB</w:t>
            </w:r>
          </w:p>
        </w:tc>
        <w:tc>
          <w:tcPr>
            <w:tcW w:w="990" w:type="dxa"/>
          </w:tcPr>
          <w:p w:rsidR="00970CAF" w:rsidRDefault="00D4384D">
            <w:pPr>
              <w:tabs>
                <w:tab w:val="left" w:pos="11775"/>
              </w:tabs>
              <w:jc w:val="center"/>
            </w:pPr>
            <w:r>
              <w:t>Ref</w:t>
            </w:r>
          </w:p>
        </w:tc>
        <w:tc>
          <w:tcPr>
            <w:tcW w:w="1530" w:type="dxa"/>
          </w:tcPr>
          <w:p w:rsidR="00970CAF" w:rsidRDefault="00D4384D">
            <w:pPr>
              <w:tabs>
                <w:tab w:val="left" w:pos="11775"/>
              </w:tabs>
              <w:jc w:val="center"/>
            </w:pPr>
            <w:r>
              <w:t>0.142</w:t>
            </w:r>
          </w:p>
          <w:p w:rsidR="00970CAF" w:rsidRDefault="00D4384D">
            <w:pPr>
              <w:tabs>
                <w:tab w:val="left" w:pos="11775"/>
              </w:tabs>
              <w:jc w:val="center"/>
            </w:pPr>
            <w:r>
              <w:t>(0.198)</w:t>
            </w:r>
          </w:p>
        </w:tc>
        <w:tc>
          <w:tcPr>
            <w:tcW w:w="1170" w:type="dxa"/>
          </w:tcPr>
          <w:p w:rsidR="00970CAF" w:rsidRDefault="00D4384D">
            <w:pPr>
              <w:tabs>
                <w:tab w:val="left" w:pos="11775"/>
              </w:tabs>
              <w:jc w:val="center"/>
            </w:pPr>
            <w:r>
              <w:t>1.323</w:t>
            </w:r>
          </w:p>
          <w:p w:rsidR="00970CAF" w:rsidRDefault="00D4384D">
            <w:pPr>
              <w:tabs>
                <w:tab w:val="left" w:pos="11775"/>
              </w:tabs>
              <w:jc w:val="center"/>
            </w:pPr>
            <w:r>
              <w:t>(&lt;0.001)</w:t>
            </w:r>
          </w:p>
        </w:tc>
        <w:tc>
          <w:tcPr>
            <w:tcW w:w="1536" w:type="dxa"/>
          </w:tcPr>
          <w:p w:rsidR="00970CAF" w:rsidRDefault="00D4384D">
            <w:pPr>
              <w:tabs>
                <w:tab w:val="left" w:pos="11775"/>
              </w:tabs>
              <w:jc w:val="center"/>
            </w:pPr>
            <w:r>
              <w:t>1.645</w:t>
            </w:r>
          </w:p>
          <w:p w:rsidR="00970CAF" w:rsidRDefault="00D4384D">
            <w:pPr>
              <w:tabs>
                <w:tab w:val="left" w:pos="11775"/>
              </w:tabs>
              <w:jc w:val="center"/>
            </w:pPr>
            <w:r>
              <w:t>(&lt;0.001)</w:t>
            </w:r>
          </w:p>
        </w:tc>
        <w:tc>
          <w:tcPr>
            <w:tcW w:w="894" w:type="dxa"/>
          </w:tcPr>
          <w:p w:rsidR="00970CAF" w:rsidRDefault="00D4384D">
            <w:pPr>
              <w:tabs>
                <w:tab w:val="left" w:pos="11775"/>
              </w:tabs>
              <w:jc w:val="center"/>
            </w:pPr>
            <w:r>
              <w:t>Ref</w:t>
            </w:r>
          </w:p>
        </w:tc>
        <w:tc>
          <w:tcPr>
            <w:tcW w:w="1080" w:type="dxa"/>
          </w:tcPr>
          <w:p w:rsidR="00970CAF" w:rsidRDefault="00D4384D">
            <w:pPr>
              <w:tabs>
                <w:tab w:val="left" w:pos="11775"/>
              </w:tabs>
              <w:jc w:val="center"/>
            </w:pPr>
            <w:r>
              <w:t>0.087</w:t>
            </w:r>
          </w:p>
          <w:p w:rsidR="00970CAF" w:rsidRDefault="00D4384D">
            <w:pPr>
              <w:tabs>
                <w:tab w:val="left" w:pos="11775"/>
              </w:tabs>
              <w:jc w:val="center"/>
            </w:pPr>
            <w:r>
              <w:t>(0.452)</w:t>
            </w:r>
          </w:p>
        </w:tc>
        <w:tc>
          <w:tcPr>
            <w:tcW w:w="1080" w:type="dxa"/>
          </w:tcPr>
          <w:p w:rsidR="00970CAF" w:rsidRDefault="00D4384D">
            <w:pPr>
              <w:tabs>
                <w:tab w:val="left" w:pos="11775"/>
              </w:tabs>
              <w:jc w:val="center"/>
            </w:pPr>
            <w:r>
              <w:t>1.254</w:t>
            </w:r>
          </w:p>
          <w:p w:rsidR="00970CAF" w:rsidRDefault="00D4384D">
            <w:pPr>
              <w:tabs>
                <w:tab w:val="left" w:pos="11775"/>
              </w:tabs>
              <w:jc w:val="center"/>
            </w:pPr>
            <w:r>
              <w:t>(&lt;0.001)</w:t>
            </w:r>
          </w:p>
        </w:tc>
        <w:tc>
          <w:tcPr>
            <w:tcW w:w="1260" w:type="dxa"/>
          </w:tcPr>
          <w:p w:rsidR="00970CAF" w:rsidRDefault="00D4384D">
            <w:pPr>
              <w:tabs>
                <w:tab w:val="left" w:pos="11775"/>
              </w:tabs>
              <w:jc w:val="center"/>
            </w:pPr>
            <w:r>
              <w:t>1.753</w:t>
            </w:r>
          </w:p>
          <w:p w:rsidR="00970CAF" w:rsidRDefault="00D4384D">
            <w:pPr>
              <w:tabs>
                <w:tab w:val="left" w:pos="11775"/>
              </w:tabs>
              <w:jc w:val="center"/>
            </w:pPr>
            <w:r>
              <w:t>(&lt;0.001)</w:t>
            </w:r>
          </w:p>
        </w:tc>
      </w:tr>
      <w:tr w:rsidR="00970CAF">
        <w:tc>
          <w:tcPr>
            <w:tcW w:w="2808" w:type="dxa"/>
          </w:tcPr>
          <w:p w:rsidR="00970CAF" w:rsidRDefault="00D4384D">
            <w:pPr>
              <w:tabs>
                <w:tab w:val="left" w:pos="11775"/>
              </w:tabs>
              <w:rPr>
                <w:b/>
              </w:rPr>
            </w:pPr>
            <w:r>
              <w:rPr>
                <w:b/>
              </w:rPr>
              <w:t>Word fluency</w:t>
            </w:r>
          </w:p>
        </w:tc>
        <w:tc>
          <w:tcPr>
            <w:tcW w:w="990" w:type="dxa"/>
          </w:tcPr>
          <w:p w:rsidR="00970CAF" w:rsidRDefault="00D4384D">
            <w:pPr>
              <w:tabs>
                <w:tab w:val="left" w:pos="11775"/>
              </w:tabs>
              <w:jc w:val="center"/>
            </w:pPr>
            <w:r>
              <w:t>Ref</w:t>
            </w:r>
          </w:p>
        </w:tc>
        <w:tc>
          <w:tcPr>
            <w:tcW w:w="1530" w:type="dxa"/>
          </w:tcPr>
          <w:p w:rsidR="00970CAF" w:rsidRDefault="00D4384D">
            <w:pPr>
              <w:tabs>
                <w:tab w:val="left" w:pos="11775"/>
              </w:tabs>
              <w:jc w:val="center"/>
            </w:pPr>
            <w:r>
              <w:t>-0.268</w:t>
            </w:r>
          </w:p>
          <w:p w:rsidR="00970CAF" w:rsidRDefault="00D4384D">
            <w:pPr>
              <w:tabs>
                <w:tab w:val="left" w:pos="11775"/>
              </w:tabs>
              <w:jc w:val="center"/>
            </w:pPr>
            <w:r>
              <w:t>(0.256)</w:t>
            </w:r>
          </w:p>
        </w:tc>
        <w:tc>
          <w:tcPr>
            <w:tcW w:w="1170" w:type="dxa"/>
          </w:tcPr>
          <w:p w:rsidR="00970CAF" w:rsidRDefault="00D4384D">
            <w:pPr>
              <w:tabs>
                <w:tab w:val="left" w:pos="11775"/>
              </w:tabs>
              <w:jc w:val="center"/>
            </w:pPr>
            <w:r>
              <w:t>-1.668</w:t>
            </w:r>
          </w:p>
          <w:p w:rsidR="00970CAF" w:rsidRDefault="00D4384D">
            <w:pPr>
              <w:tabs>
                <w:tab w:val="left" w:pos="11775"/>
              </w:tabs>
              <w:jc w:val="center"/>
            </w:pPr>
            <w:r>
              <w:t>(&lt;0.001)</w:t>
            </w:r>
          </w:p>
        </w:tc>
        <w:tc>
          <w:tcPr>
            <w:tcW w:w="1536" w:type="dxa"/>
          </w:tcPr>
          <w:p w:rsidR="00970CAF" w:rsidRDefault="00D4384D">
            <w:pPr>
              <w:tabs>
                <w:tab w:val="left" w:pos="11775"/>
              </w:tabs>
              <w:jc w:val="center"/>
            </w:pPr>
            <w:r>
              <w:t>-1.919</w:t>
            </w:r>
          </w:p>
          <w:p w:rsidR="00970CAF" w:rsidRDefault="00D4384D">
            <w:pPr>
              <w:tabs>
                <w:tab w:val="left" w:pos="11775"/>
              </w:tabs>
              <w:jc w:val="center"/>
            </w:pPr>
            <w:r>
              <w:t>(&lt;0.001)</w:t>
            </w:r>
          </w:p>
        </w:tc>
        <w:tc>
          <w:tcPr>
            <w:tcW w:w="894" w:type="dxa"/>
          </w:tcPr>
          <w:p w:rsidR="00970CAF" w:rsidRDefault="00D4384D">
            <w:pPr>
              <w:tabs>
                <w:tab w:val="left" w:pos="11775"/>
              </w:tabs>
              <w:jc w:val="center"/>
            </w:pPr>
            <w:r>
              <w:t>Ref</w:t>
            </w:r>
          </w:p>
        </w:tc>
        <w:tc>
          <w:tcPr>
            <w:tcW w:w="1080" w:type="dxa"/>
          </w:tcPr>
          <w:p w:rsidR="00970CAF" w:rsidRDefault="00D4384D">
            <w:pPr>
              <w:tabs>
                <w:tab w:val="left" w:pos="11775"/>
              </w:tabs>
              <w:jc w:val="center"/>
            </w:pPr>
            <w:r>
              <w:t>-0.450</w:t>
            </w:r>
          </w:p>
          <w:p w:rsidR="00970CAF" w:rsidRDefault="00D4384D">
            <w:pPr>
              <w:tabs>
                <w:tab w:val="left" w:pos="11775"/>
              </w:tabs>
              <w:jc w:val="center"/>
            </w:pPr>
            <w:r>
              <w:t>(0.065)</w:t>
            </w:r>
          </w:p>
        </w:tc>
        <w:tc>
          <w:tcPr>
            <w:tcW w:w="1080" w:type="dxa"/>
          </w:tcPr>
          <w:p w:rsidR="00970CAF" w:rsidRDefault="00D4384D">
            <w:pPr>
              <w:tabs>
                <w:tab w:val="left" w:pos="11775"/>
              </w:tabs>
              <w:jc w:val="center"/>
            </w:pPr>
            <w:r>
              <w:t>-1.601</w:t>
            </w:r>
          </w:p>
          <w:p w:rsidR="00970CAF" w:rsidRDefault="00D4384D">
            <w:pPr>
              <w:tabs>
                <w:tab w:val="left" w:pos="11775"/>
              </w:tabs>
              <w:jc w:val="center"/>
            </w:pPr>
            <w:r>
              <w:t>(&lt;0.001)</w:t>
            </w:r>
          </w:p>
        </w:tc>
        <w:tc>
          <w:tcPr>
            <w:tcW w:w="1260" w:type="dxa"/>
          </w:tcPr>
          <w:p w:rsidR="00970CAF" w:rsidRDefault="00D4384D">
            <w:pPr>
              <w:tabs>
                <w:tab w:val="left" w:pos="11775"/>
              </w:tabs>
              <w:jc w:val="center"/>
            </w:pPr>
            <w:r>
              <w:t>-2.179</w:t>
            </w:r>
          </w:p>
          <w:p w:rsidR="00970CAF" w:rsidRDefault="00D4384D">
            <w:pPr>
              <w:tabs>
                <w:tab w:val="left" w:pos="11775"/>
              </w:tabs>
              <w:jc w:val="center"/>
            </w:pPr>
            <w:r>
              <w:t>(&lt;0.001)</w:t>
            </w:r>
          </w:p>
        </w:tc>
      </w:tr>
      <w:tr w:rsidR="00970CAF">
        <w:tc>
          <w:tcPr>
            <w:tcW w:w="2808" w:type="dxa"/>
          </w:tcPr>
          <w:p w:rsidR="00970CAF" w:rsidRDefault="00D4384D">
            <w:pPr>
              <w:tabs>
                <w:tab w:val="left" w:pos="11775"/>
              </w:tabs>
              <w:rPr>
                <w:b/>
              </w:rPr>
            </w:pPr>
            <w:r>
              <w:rPr>
                <w:b/>
              </w:rPr>
              <w:t>BNT</w:t>
            </w:r>
          </w:p>
        </w:tc>
        <w:tc>
          <w:tcPr>
            <w:tcW w:w="990" w:type="dxa"/>
          </w:tcPr>
          <w:p w:rsidR="00970CAF" w:rsidRDefault="00D4384D">
            <w:pPr>
              <w:tabs>
                <w:tab w:val="left" w:pos="11775"/>
              </w:tabs>
              <w:jc w:val="center"/>
            </w:pPr>
            <w:r>
              <w:t>Ref</w:t>
            </w:r>
          </w:p>
        </w:tc>
        <w:tc>
          <w:tcPr>
            <w:tcW w:w="1530" w:type="dxa"/>
          </w:tcPr>
          <w:p w:rsidR="00970CAF" w:rsidRDefault="00D4384D">
            <w:pPr>
              <w:tabs>
                <w:tab w:val="left" w:pos="11775"/>
              </w:tabs>
              <w:jc w:val="center"/>
            </w:pPr>
            <w:r>
              <w:t>-0.387</w:t>
            </w:r>
          </w:p>
          <w:p w:rsidR="00970CAF" w:rsidRDefault="00D4384D">
            <w:pPr>
              <w:tabs>
                <w:tab w:val="left" w:pos="11775"/>
              </w:tabs>
              <w:jc w:val="center"/>
            </w:pPr>
            <w:r>
              <w:t>(0.201)</w:t>
            </w:r>
          </w:p>
        </w:tc>
        <w:tc>
          <w:tcPr>
            <w:tcW w:w="1170" w:type="dxa"/>
          </w:tcPr>
          <w:p w:rsidR="00970CAF" w:rsidRDefault="00D4384D">
            <w:pPr>
              <w:tabs>
                <w:tab w:val="left" w:pos="11775"/>
              </w:tabs>
              <w:jc w:val="center"/>
            </w:pPr>
            <w:r>
              <w:t>-2.614</w:t>
            </w:r>
          </w:p>
          <w:p w:rsidR="00970CAF" w:rsidRDefault="00D4384D">
            <w:pPr>
              <w:tabs>
                <w:tab w:val="left" w:pos="11775"/>
              </w:tabs>
              <w:jc w:val="center"/>
            </w:pPr>
            <w:r>
              <w:t>(&lt;0.001)</w:t>
            </w:r>
          </w:p>
        </w:tc>
        <w:tc>
          <w:tcPr>
            <w:tcW w:w="1536" w:type="dxa"/>
          </w:tcPr>
          <w:p w:rsidR="00970CAF" w:rsidRDefault="00D4384D">
            <w:pPr>
              <w:tabs>
                <w:tab w:val="left" w:pos="11775"/>
              </w:tabs>
              <w:jc w:val="center"/>
            </w:pPr>
            <w:r>
              <w:t>-2.960</w:t>
            </w:r>
          </w:p>
          <w:p w:rsidR="00970CAF" w:rsidRDefault="00D4384D">
            <w:pPr>
              <w:tabs>
                <w:tab w:val="left" w:pos="11775"/>
              </w:tabs>
              <w:jc w:val="center"/>
            </w:pPr>
            <w:r>
              <w:t>(&lt;0.001)</w:t>
            </w:r>
          </w:p>
        </w:tc>
        <w:tc>
          <w:tcPr>
            <w:tcW w:w="894" w:type="dxa"/>
          </w:tcPr>
          <w:p w:rsidR="00970CAF" w:rsidRDefault="00D4384D">
            <w:pPr>
              <w:tabs>
                <w:tab w:val="left" w:pos="11775"/>
              </w:tabs>
              <w:jc w:val="center"/>
            </w:pPr>
            <w:r>
              <w:t>Ref</w:t>
            </w:r>
          </w:p>
        </w:tc>
        <w:tc>
          <w:tcPr>
            <w:tcW w:w="1080" w:type="dxa"/>
          </w:tcPr>
          <w:p w:rsidR="00970CAF" w:rsidRDefault="00D4384D">
            <w:pPr>
              <w:tabs>
                <w:tab w:val="left" w:pos="11775"/>
              </w:tabs>
              <w:jc w:val="center"/>
            </w:pPr>
            <w:r>
              <w:t>-0.431</w:t>
            </w:r>
          </w:p>
          <w:p w:rsidR="00970CAF" w:rsidRDefault="00D4384D">
            <w:pPr>
              <w:tabs>
                <w:tab w:val="left" w:pos="11775"/>
              </w:tabs>
              <w:jc w:val="center"/>
            </w:pPr>
            <w:r>
              <w:t>(0.171)</w:t>
            </w:r>
          </w:p>
        </w:tc>
        <w:tc>
          <w:tcPr>
            <w:tcW w:w="1080" w:type="dxa"/>
          </w:tcPr>
          <w:p w:rsidR="00970CAF" w:rsidRDefault="00D4384D">
            <w:pPr>
              <w:tabs>
                <w:tab w:val="left" w:pos="11775"/>
              </w:tabs>
              <w:jc w:val="center"/>
            </w:pPr>
            <w:r>
              <w:t>-2.481</w:t>
            </w:r>
          </w:p>
          <w:p w:rsidR="00970CAF" w:rsidRDefault="00D4384D">
            <w:pPr>
              <w:tabs>
                <w:tab w:val="left" w:pos="11775"/>
              </w:tabs>
              <w:jc w:val="center"/>
            </w:pPr>
            <w:r>
              <w:t>(&lt;0.001)</w:t>
            </w:r>
          </w:p>
        </w:tc>
        <w:tc>
          <w:tcPr>
            <w:tcW w:w="1260" w:type="dxa"/>
          </w:tcPr>
          <w:p w:rsidR="00970CAF" w:rsidRDefault="00D4384D">
            <w:pPr>
              <w:tabs>
                <w:tab w:val="left" w:pos="11775"/>
              </w:tabs>
              <w:jc w:val="center"/>
            </w:pPr>
            <w:r>
              <w:t>-3.204</w:t>
            </w:r>
          </w:p>
          <w:p w:rsidR="00970CAF" w:rsidRDefault="00D4384D">
            <w:pPr>
              <w:tabs>
                <w:tab w:val="left" w:pos="11775"/>
              </w:tabs>
              <w:jc w:val="center"/>
            </w:pPr>
            <w:r>
              <w:t>(&lt;0.001)</w:t>
            </w:r>
          </w:p>
        </w:tc>
      </w:tr>
      <w:tr w:rsidR="00970CAF">
        <w:tc>
          <w:tcPr>
            <w:tcW w:w="2808" w:type="dxa"/>
          </w:tcPr>
          <w:p w:rsidR="00970CAF" w:rsidRDefault="00D4384D">
            <w:pPr>
              <w:tabs>
                <w:tab w:val="left" w:pos="11775"/>
              </w:tabs>
              <w:rPr>
                <w:b/>
              </w:rPr>
            </w:pPr>
            <w:r>
              <w:rPr>
                <w:b/>
              </w:rPr>
              <w:t>TMA</w:t>
            </w:r>
          </w:p>
        </w:tc>
        <w:tc>
          <w:tcPr>
            <w:tcW w:w="990" w:type="dxa"/>
          </w:tcPr>
          <w:p w:rsidR="00970CAF" w:rsidRDefault="00D4384D">
            <w:pPr>
              <w:tabs>
                <w:tab w:val="left" w:pos="11775"/>
              </w:tabs>
              <w:jc w:val="center"/>
            </w:pPr>
            <w:r>
              <w:t>Ref</w:t>
            </w:r>
          </w:p>
        </w:tc>
        <w:tc>
          <w:tcPr>
            <w:tcW w:w="1530" w:type="dxa"/>
          </w:tcPr>
          <w:p w:rsidR="00970CAF" w:rsidRDefault="00D4384D">
            <w:pPr>
              <w:tabs>
                <w:tab w:val="left" w:pos="11775"/>
              </w:tabs>
              <w:jc w:val="center"/>
            </w:pPr>
            <w:r>
              <w:t>1.149</w:t>
            </w:r>
          </w:p>
          <w:p w:rsidR="00970CAF" w:rsidRDefault="00D4384D">
            <w:pPr>
              <w:tabs>
                <w:tab w:val="left" w:pos="11775"/>
              </w:tabs>
              <w:jc w:val="center"/>
            </w:pPr>
            <w:r>
              <w:t>(0.317)</w:t>
            </w:r>
          </w:p>
        </w:tc>
        <w:tc>
          <w:tcPr>
            <w:tcW w:w="1170" w:type="dxa"/>
          </w:tcPr>
          <w:p w:rsidR="00970CAF" w:rsidRDefault="00D4384D">
            <w:pPr>
              <w:tabs>
                <w:tab w:val="left" w:pos="11775"/>
              </w:tabs>
              <w:jc w:val="center"/>
            </w:pPr>
            <w:r>
              <w:t>11.290</w:t>
            </w:r>
          </w:p>
          <w:p w:rsidR="00970CAF" w:rsidRDefault="00D4384D">
            <w:pPr>
              <w:tabs>
                <w:tab w:val="left" w:pos="11775"/>
              </w:tabs>
              <w:jc w:val="center"/>
            </w:pPr>
            <w:r>
              <w:t>(&lt;0.001)</w:t>
            </w:r>
          </w:p>
        </w:tc>
        <w:tc>
          <w:tcPr>
            <w:tcW w:w="1536" w:type="dxa"/>
          </w:tcPr>
          <w:p w:rsidR="00970CAF" w:rsidRDefault="00D4384D">
            <w:pPr>
              <w:tabs>
                <w:tab w:val="left" w:pos="11775"/>
              </w:tabs>
              <w:jc w:val="center"/>
            </w:pPr>
            <w:r>
              <w:t>10.939</w:t>
            </w:r>
          </w:p>
          <w:p w:rsidR="00970CAF" w:rsidRDefault="00D4384D">
            <w:pPr>
              <w:tabs>
                <w:tab w:val="left" w:pos="11775"/>
              </w:tabs>
              <w:jc w:val="center"/>
            </w:pPr>
            <w:r>
              <w:t>(&lt;0.001)</w:t>
            </w:r>
          </w:p>
        </w:tc>
        <w:tc>
          <w:tcPr>
            <w:tcW w:w="894" w:type="dxa"/>
          </w:tcPr>
          <w:p w:rsidR="00970CAF" w:rsidRDefault="00D4384D">
            <w:pPr>
              <w:tabs>
                <w:tab w:val="left" w:pos="11775"/>
              </w:tabs>
              <w:jc w:val="center"/>
            </w:pPr>
            <w:r>
              <w:t>Ref</w:t>
            </w:r>
          </w:p>
        </w:tc>
        <w:tc>
          <w:tcPr>
            <w:tcW w:w="1080" w:type="dxa"/>
          </w:tcPr>
          <w:p w:rsidR="00970CAF" w:rsidRDefault="00D4384D">
            <w:pPr>
              <w:tabs>
                <w:tab w:val="left" w:pos="11775"/>
              </w:tabs>
              <w:jc w:val="center"/>
            </w:pPr>
            <w:r>
              <w:t>0.872</w:t>
            </w:r>
          </w:p>
          <w:p w:rsidR="00970CAF" w:rsidRDefault="00D4384D">
            <w:pPr>
              <w:tabs>
                <w:tab w:val="left" w:pos="11775"/>
              </w:tabs>
              <w:jc w:val="center"/>
            </w:pPr>
            <w:r>
              <w:t>(0.456)</w:t>
            </w:r>
          </w:p>
        </w:tc>
        <w:tc>
          <w:tcPr>
            <w:tcW w:w="1080" w:type="dxa"/>
          </w:tcPr>
          <w:p w:rsidR="00970CAF" w:rsidRDefault="00D4384D">
            <w:pPr>
              <w:tabs>
                <w:tab w:val="left" w:pos="11775"/>
              </w:tabs>
              <w:jc w:val="center"/>
            </w:pPr>
            <w:r>
              <w:t>8.409</w:t>
            </w:r>
          </w:p>
          <w:p w:rsidR="00970CAF" w:rsidRDefault="00D4384D">
            <w:pPr>
              <w:tabs>
                <w:tab w:val="left" w:pos="11775"/>
              </w:tabs>
              <w:jc w:val="center"/>
            </w:pPr>
            <w:r>
              <w:t>(&lt;0.001)</w:t>
            </w:r>
          </w:p>
        </w:tc>
        <w:tc>
          <w:tcPr>
            <w:tcW w:w="1260" w:type="dxa"/>
          </w:tcPr>
          <w:p w:rsidR="00970CAF" w:rsidRDefault="00D4384D">
            <w:pPr>
              <w:tabs>
                <w:tab w:val="left" w:pos="11775"/>
              </w:tabs>
              <w:jc w:val="center"/>
            </w:pPr>
            <w:r>
              <w:t>14.150</w:t>
            </w:r>
          </w:p>
          <w:p w:rsidR="00970CAF" w:rsidRDefault="00D4384D">
            <w:pPr>
              <w:tabs>
                <w:tab w:val="left" w:pos="11775"/>
              </w:tabs>
              <w:jc w:val="center"/>
            </w:pPr>
            <w:r>
              <w:t>(&lt;0.001)</w:t>
            </w:r>
          </w:p>
        </w:tc>
      </w:tr>
      <w:tr w:rsidR="00970CAF">
        <w:tc>
          <w:tcPr>
            <w:tcW w:w="2808" w:type="dxa"/>
          </w:tcPr>
          <w:p w:rsidR="00970CAF" w:rsidRDefault="00D4384D">
            <w:pPr>
              <w:tabs>
                <w:tab w:val="left" w:pos="11775"/>
              </w:tabs>
              <w:rPr>
                <w:b/>
              </w:rPr>
            </w:pPr>
            <w:r>
              <w:rPr>
                <w:b/>
              </w:rPr>
              <w:t>TMB</w:t>
            </w:r>
          </w:p>
        </w:tc>
        <w:tc>
          <w:tcPr>
            <w:tcW w:w="990" w:type="dxa"/>
          </w:tcPr>
          <w:p w:rsidR="00970CAF" w:rsidRDefault="00D4384D">
            <w:pPr>
              <w:tabs>
                <w:tab w:val="left" w:pos="11775"/>
              </w:tabs>
              <w:jc w:val="center"/>
            </w:pPr>
            <w:r>
              <w:t>Ref</w:t>
            </w:r>
          </w:p>
        </w:tc>
        <w:tc>
          <w:tcPr>
            <w:tcW w:w="1530" w:type="dxa"/>
          </w:tcPr>
          <w:p w:rsidR="00970CAF" w:rsidRDefault="00D4384D">
            <w:pPr>
              <w:tabs>
                <w:tab w:val="left" w:pos="11775"/>
              </w:tabs>
              <w:jc w:val="center"/>
            </w:pPr>
            <w:r>
              <w:t>0.199</w:t>
            </w:r>
          </w:p>
          <w:p w:rsidR="00970CAF" w:rsidRDefault="00D4384D">
            <w:pPr>
              <w:tabs>
                <w:tab w:val="left" w:pos="11775"/>
              </w:tabs>
              <w:jc w:val="center"/>
            </w:pPr>
            <w:r>
              <w:t>(0.829)</w:t>
            </w:r>
          </w:p>
        </w:tc>
        <w:tc>
          <w:tcPr>
            <w:tcW w:w="1170" w:type="dxa"/>
          </w:tcPr>
          <w:p w:rsidR="00970CAF" w:rsidRDefault="00D4384D">
            <w:pPr>
              <w:tabs>
                <w:tab w:val="left" w:pos="11775"/>
              </w:tabs>
              <w:jc w:val="center"/>
            </w:pPr>
            <w:r>
              <w:t>5.273</w:t>
            </w:r>
          </w:p>
          <w:p w:rsidR="00970CAF" w:rsidRDefault="00D4384D">
            <w:pPr>
              <w:tabs>
                <w:tab w:val="left" w:pos="11775"/>
              </w:tabs>
              <w:jc w:val="center"/>
            </w:pPr>
            <w:r>
              <w:t>(&lt;0.001)</w:t>
            </w:r>
          </w:p>
        </w:tc>
        <w:tc>
          <w:tcPr>
            <w:tcW w:w="1536" w:type="dxa"/>
          </w:tcPr>
          <w:p w:rsidR="00970CAF" w:rsidRDefault="00D4384D">
            <w:pPr>
              <w:tabs>
                <w:tab w:val="left" w:pos="11775"/>
              </w:tabs>
              <w:jc w:val="center"/>
            </w:pPr>
            <w:r>
              <w:t>3.324</w:t>
            </w:r>
          </w:p>
          <w:p w:rsidR="00970CAF" w:rsidRDefault="00D4384D">
            <w:pPr>
              <w:tabs>
                <w:tab w:val="left" w:pos="11775"/>
              </w:tabs>
              <w:jc w:val="center"/>
            </w:pPr>
            <w:r>
              <w:t>(&lt;0.001)</w:t>
            </w:r>
          </w:p>
        </w:tc>
        <w:tc>
          <w:tcPr>
            <w:tcW w:w="894" w:type="dxa"/>
          </w:tcPr>
          <w:p w:rsidR="00970CAF" w:rsidRDefault="00D4384D">
            <w:pPr>
              <w:tabs>
                <w:tab w:val="left" w:pos="11775"/>
              </w:tabs>
              <w:jc w:val="center"/>
            </w:pPr>
            <w:r>
              <w:t>Ref</w:t>
            </w:r>
          </w:p>
        </w:tc>
        <w:tc>
          <w:tcPr>
            <w:tcW w:w="1080" w:type="dxa"/>
          </w:tcPr>
          <w:p w:rsidR="00970CAF" w:rsidRDefault="00D4384D">
            <w:pPr>
              <w:tabs>
                <w:tab w:val="left" w:pos="11775"/>
              </w:tabs>
              <w:jc w:val="center"/>
            </w:pPr>
            <w:r>
              <w:t>0.546</w:t>
            </w:r>
          </w:p>
          <w:p w:rsidR="00970CAF" w:rsidRDefault="00D4384D">
            <w:pPr>
              <w:tabs>
                <w:tab w:val="left" w:pos="11775"/>
              </w:tabs>
              <w:jc w:val="center"/>
            </w:pPr>
            <w:r>
              <w:t>(0.568)</w:t>
            </w:r>
          </w:p>
        </w:tc>
        <w:tc>
          <w:tcPr>
            <w:tcW w:w="1080" w:type="dxa"/>
          </w:tcPr>
          <w:p w:rsidR="00970CAF" w:rsidRDefault="00D4384D">
            <w:pPr>
              <w:tabs>
                <w:tab w:val="left" w:pos="11775"/>
              </w:tabs>
              <w:jc w:val="center"/>
            </w:pPr>
            <w:r>
              <w:t>5.295</w:t>
            </w:r>
          </w:p>
          <w:p w:rsidR="00970CAF" w:rsidRDefault="00D4384D">
            <w:pPr>
              <w:tabs>
                <w:tab w:val="left" w:pos="11775"/>
              </w:tabs>
              <w:jc w:val="center"/>
            </w:pPr>
            <w:r>
              <w:t>(&lt;0.001)</w:t>
            </w:r>
          </w:p>
        </w:tc>
        <w:tc>
          <w:tcPr>
            <w:tcW w:w="1260" w:type="dxa"/>
          </w:tcPr>
          <w:p w:rsidR="00970CAF" w:rsidRDefault="00D4384D">
            <w:pPr>
              <w:tabs>
                <w:tab w:val="left" w:pos="11775"/>
              </w:tabs>
              <w:jc w:val="center"/>
            </w:pPr>
            <w:r>
              <w:t>2.796</w:t>
            </w:r>
          </w:p>
          <w:p w:rsidR="00970CAF" w:rsidRDefault="00D4384D">
            <w:pPr>
              <w:tabs>
                <w:tab w:val="left" w:pos="11775"/>
              </w:tabs>
              <w:jc w:val="center"/>
            </w:pPr>
            <w:r>
              <w:t>(0.020)</w:t>
            </w:r>
          </w:p>
        </w:tc>
      </w:tr>
      <w:tr w:rsidR="00970CAF">
        <w:tc>
          <w:tcPr>
            <w:tcW w:w="2808" w:type="dxa"/>
          </w:tcPr>
          <w:p w:rsidR="00970CAF" w:rsidRDefault="00D4384D">
            <w:pPr>
              <w:tabs>
                <w:tab w:val="left" w:pos="11775"/>
              </w:tabs>
              <w:rPr>
                <w:b/>
              </w:rPr>
            </w:pPr>
            <w:r>
              <w:rPr>
                <w:b/>
              </w:rPr>
              <w:t>Composite cognition score</w:t>
            </w:r>
          </w:p>
        </w:tc>
        <w:tc>
          <w:tcPr>
            <w:tcW w:w="990" w:type="dxa"/>
          </w:tcPr>
          <w:p w:rsidR="00970CAF" w:rsidRDefault="00D4384D">
            <w:pPr>
              <w:tabs>
                <w:tab w:val="left" w:pos="11775"/>
              </w:tabs>
              <w:jc w:val="center"/>
            </w:pPr>
            <w:r>
              <w:t>Ref</w:t>
            </w:r>
          </w:p>
        </w:tc>
        <w:tc>
          <w:tcPr>
            <w:tcW w:w="1530" w:type="dxa"/>
          </w:tcPr>
          <w:p w:rsidR="00970CAF" w:rsidRDefault="00D4384D">
            <w:pPr>
              <w:tabs>
                <w:tab w:val="left" w:pos="11775"/>
              </w:tabs>
              <w:jc w:val="center"/>
            </w:pPr>
            <w:r>
              <w:t>-0.068</w:t>
            </w:r>
          </w:p>
          <w:p w:rsidR="00970CAF" w:rsidRDefault="00D4384D">
            <w:pPr>
              <w:tabs>
                <w:tab w:val="left" w:pos="11775"/>
              </w:tabs>
              <w:jc w:val="center"/>
            </w:pPr>
            <w:r>
              <w:t>(0.071)</w:t>
            </w:r>
          </w:p>
        </w:tc>
        <w:tc>
          <w:tcPr>
            <w:tcW w:w="1170" w:type="dxa"/>
          </w:tcPr>
          <w:p w:rsidR="00970CAF" w:rsidRDefault="00D4384D">
            <w:pPr>
              <w:tabs>
                <w:tab w:val="left" w:pos="11775"/>
              </w:tabs>
              <w:jc w:val="center"/>
            </w:pPr>
            <w:r>
              <w:t>-0.460</w:t>
            </w:r>
          </w:p>
          <w:p w:rsidR="00970CAF" w:rsidRDefault="00D4384D">
            <w:pPr>
              <w:tabs>
                <w:tab w:val="left" w:pos="11775"/>
              </w:tabs>
              <w:jc w:val="center"/>
            </w:pPr>
            <w:r>
              <w:t>(&lt;0.001)</w:t>
            </w:r>
          </w:p>
        </w:tc>
        <w:tc>
          <w:tcPr>
            <w:tcW w:w="1536" w:type="dxa"/>
          </w:tcPr>
          <w:p w:rsidR="00970CAF" w:rsidRDefault="00D4384D">
            <w:pPr>
              <w:tabs>
                <w:tab w:val="left" w:pos="11775"/>
              </w:tabs>
              <w:jc w:val="center"/>
            </w:pPr>
            <w:r>
              <w:t>-0.443</w:t>
            </w:r>
          </w:p>
          <w:p w:rsidR="00970CAF" w:rsidRDefault="00D4384D">
            <w:pPr>
              <w:tabs>
                <w:tab w:val="left" w:pos="11775"/>
              </w:tabs>
              <w:jc w:val="center"/>
            </w:pPr>
            <w:r>
              <w:t>(&lt;0.001)</w:t>
            </w:r>
          </w:p>
        </w:tc>
        <w:tc>
          <w:tcPr>
            <w:tcW w:w="894" w:type="dxa"/>
          </w:tcPr>
          <w:p w:rsidR="00970CAF" w:rsidRDefault="00D4384D">
            <w:pPr>
              <w:tabs>
                <w:tab w:val="left" w:pos="11775"/>
              </w:tabs>
              <w:jc w:val="center"/>
            </w:pPr>
            <w:r>
              <w:t>Ref</w:t>
            </w:r>
          </w:p>
        </w:tc>
        <w:tc>
          <w:tcPr>
            <w:tcW w:w="1080" w:type="dxa"/>
          </w:tcPr>
          <w:p w:rsidR="00970CAF" w:rsidRDefault="00D4384D">
            <w:pPr>
              <w:tabs>
                <w:tab w:val="left" w:pos="11775"/>
              </w:tabs>
              <w:jc w:val="center"/>
            </w:pPr>
            <w:r>
              <w:t>-0.037</w:t>
            </w:r>
          </w:p>
          <w:p w:rsidR="00970CAF" w:rsidRDefault="00D4384D">
            <w:pPr>
              <w:tabs>
                <w:tab w:val="left" w:pos="11775"/>
              </w:tabs>
              <w:jc w:val="center"/>
            </w:pPr>
            <w:r>
              <w:t>(0.341)</w:t>
            </w:r>
          </w:p>
        </w:tc>
        <w:tc>
          <w:tcPr>
            <w:tcW w:w="1080" w:type="dxa"/>
          </w:tcPr>
          <w:p w:rsidR="00970CAF" w:rsidRDefault="00D4384D">
            <w:pPr>
              <w:tabs>
                <w:tab w:val="left" w:pos="11775"/>
              </w:tabs>
              <w:jc w:val="center"/>
            </w:pPr>
            <w:r>
              <w:t>-0.378</w:t>
            </w:r>
          </w:p>
          <w:p w:rsidR="00970CAF" w:rsidRDefault="00D4384D">
            <w:pPr>
              <w:tabs>
                <w:tab w:val="left" w:pos="11775"/>
              </w:tabs>
              <w:jc w:val="center"/>
            </w:pPr>
            <w:r>
              <w:t>(&lt;0.001)</w:t>
            </w:r>
          </w:p>
        </w:tc>
        <w:tc>
          <w:tcPr>
            <w:tcW w:w="1260" w:type="dxa"/>
          </w:tcPr>
          <w:p w:rsidR="00970CAF" w:rsidRDefault="00D4384D">
            <w:pPr>
              <w:tabs>
                <w:tab w:val="left" w:pos="11775"/>
              </w:tabs>
              <w:jc w:val="center"/>
            </w:pPr>
            <w:r>
              <w:t>-0.516</w:t>
            </w:r>
          </w:p>
          <w:p w:rsidR="00970CAF" w:rsidRDefault="00D4384D">
            <w:pPr>
              <w:tabs>
                <w:tab w:val="left" w:pos="11775"/>
              </w:tabs>
              <w:jc w:val="center"/>
            </w:pPr>
            <w:r>
              <w:t>(&lt;0.001)</w:t>
            </w:r>
          </w:p>
        </w:tc>
      </w:tr>
      <w:tr w:rsidR="00970CAF">
        <w:tc>
          <w:tcPr>
            <w:tcW w:w="2808" w:type="dxa"/>
          </w:tcPr>
          <w:p w:rsidR="00970CAF" w:rsidRDefault="00D4384D">
            <w:pPr>
              <w:tabs>
                <w:tab w:val="left" w:pos="11775"/>
              </w:tabs>
              <w:rPr>
                <w:b/>
              </w:rPr>
            </w:pPr>
            <w:r>
              <w:rPr>
                <w:b/>
              </w:rPr>
              <w:t>Kanne frontal factor</w:t>
            </w:r>
          </w:p>
        </w:tc>
        <w:tc>
          <w:tcPr>
            <w:tcW w:w="990" w:type="dxa"/>
          </w:tcPr>
          <w:p w:rsidR="00970CAF" w:rsidRDefault="00D4384D">
            <w:pPr>
              <w:tabs>
                <w:tab w:val="left" w:pos="11775"/>
              </w:tabs>
              <w:jc w:val="center"/>
            </w:pPr>
            <w:r>
              <w:t>Ref</w:t>
            </w:r>
          </w:p>
        </w:tc>
        <w:tc>
          <w:tcPr>
            <w:tcW w:w="1530" w:type="dxa"/>
          </w:tcPr>
          <w:p w:rsidR="00970CAF" w:rsidRDefault="00D4384D">
            <w:pPr>
              <w:tabs>
                <w:tab w:val="left" w:pos="11775"/>
              </w:tabs>
              <w:jc w:val="center"/>
            </w:pPr>
            <w:r>
              <w:t>-0.021</w:t>
            </w:r>
          </w:p>
          <w:p w:rsidR="00970CAF" w:rsidRDefault="00D4384D">
            <w:pPr>
              <w:tabs>
                <w:tab w:val="left" w:pos="11775"/>
              </w:tabs>
              <w:jc w:val="center"/>
            </w:pPr>
            <w:r>
              <w:t>(0.226)</w:t>
            </w:r>
          </w:p>
        </w:tc>
        <w:tc>
          <w:tcPr>
            <w:tcW w:w="1170" w:type="dxa"/>
          </w:tcPr>
          <w:p w:rsidR="00970CAF" w:rsidRDefault="00D4384D">
            <w:pPr>
              <w:tabs>
                <w:tab w:val="left" w:pos="11775"/>
              </w:tabs>
              <w:jc w:val="center"/>
            </w:pPr>
            <w:r>
              <w:t>-0.131</w:t>
            </w:r>
          </w:p>
          <w:p w:rsidR="00970CAF" w:rsidRDefault="00D4384D">
            <w:pPr>
              <w:tabs>
                <w:tab w:val="left" w:pos="11775"/>
              </w:tabs>
              <w:jc w:val="center"/>
            </w:pPr>
            <w:r>
              <w:t>(&lt;0.001)</w:t>
            </w:r>
          </w:p>
        </w:tc>
        <w:tc>
          <w:tcPr>
            <w:tcW w:w="1536" w:type="dxa"/>
          </w:tcPr>
          <w:p w:rsidR="00970CAF" w:rsidRDefault="00D4384D">
            <w:pPr>
              <w:tabs>
                <w:tab w:val="left" w:pos="11775"/>
              </w:tabs>
              <w:jc w:val="center"/>
            </w:pPr>
            <w:r>
              <w:t>-0.147</w:t>
            </w:r>
          </w:p>
          <w:p w:rsidR="00970CAF" w:rsidRDefault="00D4384D">
            <w:pPr>
              <w:tabs>
                <w:tab w:val="left" w:pos="11775"/>
              </w:tabs>
              <w:jc w:val="center"/>
            </w:pPr>
            <w:r>
              <w:t>(&lt;0.001)</w:t>
            </w:r>
          </w:p>
        </w:tc>
        <w:tc>
          <w:tcPr>
            <w:tcW w:w="894" w:type="dxa"/>
          </w:tcPr>
          <w:p w:rsidR="00970CAF" w:rsidRDefault="00D4384D">
            <w:pPr>
              <w:tabs>
                <w:tab w:val="left" w:pos="11775"/>
              </w:tabs>
              <w:jc w:val="center"/>
            </w:pPr>
            <w:r>
              <w:t>Ref</w:t>
            </w:r>
          </w:p>
        </w:tc>
        <w:tc>
          <w:tcPr>
            <w:tcW w:w="1080" w:type="dxa"/>
          </w:tcPr>
          <w:p w:rsidR="00970CAF" w:rsidRDefault="00D4384D">
            <w:pPr>
              <w:tabs>
                <w:tab w:val="left" w:pos="11775"/>
              </w:tabs>
              <w:jc w:val="center"/>
            </w:pPr>
            <w:r>
              <w:t>-0.028</w:t>
            </w:r>
          </w:p>
          <w:p w:rsidR="00970CAF" w:rsidRDefault="00D4384D">
            <w:pPr>
              <w:tabs>
                <w:tab w:val="left" w:pos="11775"/>
              </w:tabs>
              <w:jc w:val="center"/>
            </w:pPr>
            <w:r>
              <w:t>0.113)</w:t>
            </w:r>
          </w:p>
        </w:tc>
        <w:tc>
          <w:tcPr>
            <w:tcW w:w="1080" w:type="dxa"/>
          </w:tcPr>
          <w:p w:rsidR="00970CAF" w:rsidRDefault="00D4384D">
            <w:pPr>
              <w:tabs>
                <w:tab w:val="left" w:pos="11775"/>
              </w:tabs>
              <w:jc w:val="center"/>
            </w:pPr>
            <w:r>
              <w:t>-0.131</w:t>
            </w:r>
          </w:p>
          <w:p w:rsidR="00970CAF" w:rsidRDefault="00D4384D">
            <w:pPr>
              <w:tabs>
                <w:tab w:val="left" w:pos="11775"/>
              </w:tabs>
              <w:jc w:val="center"/>
            </w:pPr>
            <w:r>
              <w:t>(&lt;0.001)</w:t>
            </w:r>
          </w:p>
        </w:tc>
        <w:tc>
          <w:tcPr>
            <w:tcW w:w="1260" w:type="dxa"/>
          </w:tcPr>
          <w:p w:rsidR="00970CAF" w:rsidRDefault="00D4384D">
            <w:pPr>
              <w:tabs>
                <w:tab w:val="left" w:pos="11775"/>
              </w:tabs>
              <w:jc w:val="center"/>
            </w:pPr>
            <w:r>
              <w:t>-0.156</w:t>
            </w:r>
          </w:p>
          <w:p w:rsidR="00970CAF" w:rsidRDefault="00D4384D">
            <w:pPr>
              <w:tabs>
                <w:tab w:val="left" w:pos="11775"/>
              </w:tabs>
              <w:jc w:val="center"/>
            </w:pPr>
            <w:r>
              <w:t>(&lt;0.001)</w:t>
            </w:r>
          </w:p>
        </w:tc>
      </w:tr>
      <w:tr w:rsidR="00970CAF">
        <w:tc>
          <w:tcPr>
            <w:tcW w:w="2808" w:type="dxa"/>
          </w:tcPr>
          <w:p w:rsidR="00970CAF" w:rsidRDefault="00D4384D">
            <w:pPr>
              <w:tabs>
                <w:tab w:val="left" w:pos="11775"/>
              </w:tabs>
              <w:rPr>
                <w:b/>
              </w:rPr>
            </w:pPr>
            <w:r>
              <w:rPr>
                <w:b/>
              </w:rPr>
              <w:t>Kanne temporal factor</w:t>
            </w:r>
          </w:p>
        </w:tc>
        <w:tc>
          <w:tcPr>
            <w:tcW w:w="990" w:type="dxa"/>
          </w:tcPr>
          <w:p w:rsidR="00970CAF" w:rsidRDefault="00D4384D">
            <w:pPr>
              <w:tabs>
                <w:tab w:val="left" w:pos="11775"/>
              </w:tabs>
              <w:jc w:val="center"/>
            </w:pPr>
            <w:r>
              <w:t>Ref</w:t>
            </w:r>
          </w:p>
        </w:tc>
        <w:tc>
          <w:tcPr>
            <w:tcW w:w="1530" w:type="dxa"/>
          </w:tcPr>
          <w:p w:rsidR="00970CAF" w:rsidRDefault="00D4384D">
            <w:pPr>
              <w:tabs>
                <w:tab w:val="left" w:pos="11775"/>
              </w:tabs>
              <w:jc w:val="center"/>
            </w:pPr>
            <w:r>
              <w:t>-0.023</w:t>
            </w:r>
          </w:p>
          <w:p w:rsidR="00970CAF" w:rsidRDefault="00D4384D">
            <w:pPr>
              <w:tabs>
                <w:tab w:val="left" w:pos="11775"/>
              </w:tabs>
              <w:jc w:val="center"/>
            </w:pPr>
            <w:r>
              <w:t>(0.142)</w:t>
            </w:r>
          </w:p>
        </w:tc>
        <w:tc>
          <w:tcPr>
            <w:tcW w:w="1170" w:type="dxa"/>
          </w:tcPr>
          <w:p w:rsidR="00970CAF" w:rsidRDefault="00D4384D">
            <w:pPr>
              <w:tabs>
                <w:tab w:val="left" w:pos="11775"/>
              </w:tabs>
              <w:jc w:val="center"/>
            </w:pPr>
            <w:r>
              <w:t>-0.138</w:t>
            </w:r>
          </w:p>
          <w:p w:rsidR="00970CAF" w:rsidRDefault="00D4384D">
            <w:pPr>
              <w:tabs>
                <w:tab w:val="left" w:pos="11775"/>
              </w:tabs>
              <w:jc w:val="center"/>
            </w:pPr>
            <w:r>
              <w:t>(&lt;0.001)</w:t>
            </w:r>
          </w:p>
        </w:tc>
        <w:tc>
          <w:tcPr>
            <w:tcW w:w="1536" w:type="dxa"/>
          </w:tcPr>
          <w:p w:rsidR="00970CAF" w:rsidRDefault="00D4384D">
            <w:pPr>
              <w:tabs>
                <w:tab w:val="left" w:pos="11775"/>
              </w:tabs>
              <w:jc w:val="center"/>
            </w:pPr>
            <w:r>
              <w:t>-0.162</w:t>
            </w:r>
          </w:p>
          <w:p w:rsidR="00970CAF" w:rsidRDefault="00D4384D">
            <w:pPr>
              <w:tabs>
                <w:tab w:val="left" w:pos="11775"/>
              </w:tabs>
              <w:jc w:val="center"/>
            </w:pPr>
            <w:r>
              <w:t>(&lt;0.001)</w:t>
            </w:r>
          </w:p>
        </w:tc>
        <w:tc>
          <w:tcPr>
            <w:tcW w:w="894" w:type="dxa"/>
          </w:tcPr>
          <w:p w:rsidR="00970CAF" w:rsidRDefault="00D4384D">
            <w:pPr>
              <w:tabs>
                <w:tab w:val="left" w:pos="11775"/>
              </w:tabs>
              <w:jc w:val="center"/>
            </w:pPr>
            <w:r>
              <w:t>Ref</w:t>
            </w:r>
          </w:p>
        </w:tc>
        <w:tc>
          <w:tcPr>
            <w:tcW w:w="1080" w:type="dxa"/>
          </w:tcPr>
          <w:p w:rsidR="00970CAF" w:rsidRDefault="00D4384D">
            <w:pPr>
              <w:tabs>
                <w:tab w:val="left" w:pos="11775"/>
              </w:tabs>
              <w:jc w:val="center"/>
            </w:pPr>
            <w:r>
              <w:t>-0.024</w:t>
            </w:r>
          </w:p>
          <w:p w:rsidR="00970CAF" w:rsidRDefault="00D4384D">
            <w:pPr>
              <w:tabs>
                <w:tab w:val="left" w:pos="11775"/>
              </w:tabs>
              <w:jc w:val="center"/>
            </w:pPr>
            <w:r>
              <w:t>(0.132)</w:t>
            </w:r>
          </w:p>
        </w:tc>
        <w:tc>
          <w:tcPr>
            <w:tcW w:w="1080" w:type="dxa"/>
          </w:tcPr>
          <w:p w:rsidR="00970CAF" w:rsidRDefault="00D4384D">
            <w:pPr>
              <w:tabs>
                <w:tab w:val="left" w:pos="11775"/>
              </w:tabs>
              <w:jc w:val="center"/>
            </w:pPr>
            <w:r>
              <w:t>-0.138</w:t>
            </w:r>
          </w:p>
          <w:p w:rsidR="00970CAF" w:rsidRDefault="00D4384D">
            <w:pPr>
              <w:tabs>
                <w:tab w:val="left" w:pos="11775"/>
              </w:tabs>
              <w:jc w:val="center"/>
            </w:pPr>
            <w:r>
              <w:t>(&lt;0.001)</w:t>
            </w:r>
          </w:p>
        </w:tc>
        <w:tc>
          <w:tcPr>
            <w:tcW w:w="1260" w:type="dxa"/>
          </w:tcPr>
          <w:p w:rsidR="00970CAF" w:rsidRDefault="00D4384D">
            <w:pPr>
              <w:tabs>
                <w:tab w:val="left" w:pos="11775"/>
              </w:tabs>
              <w:jc w:val="center"/>
            </w:pPr>
            <w:r>
              <w:t>-0.166</w:t>
            </w:r>
          </w:p>
          <w:p w:rsidR="00970CAF" w:rsidRDefault="00D4384D">
            <w:pPr>
              <w:tabs>
                <w:tab w:val="left" w:pos="11775"/>
              </w:tabs>
              <w:jc w:val="center"/>
            </w:pPr>
            <w:r>
              <w:t>(&lt;0.001)</w:t>
            </w:r>
          </w:p>
        </w:tc>
      </w:tr>
      <w:tr w:rsidR="00970CAF">
        <w:tc>
          <w:tcPr>
            <w:tcW w:w="2808" w:type="dxa"/>
          </w:tcPr>
          <w:p w:rsidR="00970CAF" w:rsidRDefault="00D4384D">
            <w:pPr>
              <w:tabs>
                <w:tab w:val="left" w:pos="11775"/>
              </w:tabs>
              <w:rPr>
                <w:b/>
              </w:rPr>
            </w:pPr>
            <w:r>
              <w:rPr>
                <w:b/>
              </w:rPr>
              <w:t>Kanne parietal factor</w:t>
            </w:r>
          </w:p>
        </w:tc>
        <w:tc>
          <w:tcPr>
            <w:tcW w:w="990" w:type="dxa"/>
          </w:tcPr>
          <w:p w:rsidR="00970CAF" w:rsidRDefault="00D4384D">
            <w:pPr>
              <w:tabs>
                <w:tab w:val="left" w:pos="11775"/>
              </w:tabs>
              <w:jc w:val="center"/>
            </w:pPr>
            <w:r>
              <w:t>Ref</w:t>
            </w:r>
          </w:p>
        </w:tc>
        <w:tc>
          <w:tcPr>
            <w:tcW w:w="1530" w:type="dxa"/>
          </w:tcPr>
          <w:p w:rsidR="00970CAF" w:rsidRDefault="00D4384D">
            <w:pPr>
              <w:tabs>
                <w:tab w:val="left" w:pos="11775"/>
              </w:tabs>
              <w:jc w:val="center"/>
            </w:pPr>
            <w:r>
              <w:t>-0.029</w:t>
            </w:r>
          </w:p>
          <w:p w:rsidR="00970CAF" w:rsidRDefault="00D4384D">
            <w:pPr>
              <w:tabs>
                <w:tab w:val="left" w:pos="11775"/>
              </w:tabs>
              <w:jc w:val="center"/>
            </w:pPr>
            <w:r>
              <w:t>(0.084)</w:t>
            </w:r>
          </w:p>
        </w:tc>
        <w:tc>
          <w:tcPr>
            <w:tcW w:w="1170" w:type="dxa"/>
          </w:tcPr>
          <w:p w:rsidR="00970CAF" w:rsidRDefault="00D4384D">
            <w:pPr>
              <w:tabs>
                <w:tab w:val="left" w:pos="11775"/>
              </w:tabs>
              <w:jc w:val="center"/>
            </w:pPr>
            <w:r>
              <w:t>-0.160</w:t>
            </w:r>
          </w:p>
          <w:p w:rsidR="00970CAF" w:rsidRDefault="00D4384D">
            <w:pPr>
              <w:tabs>
                <w:tab w:val="left" w:pos="11775"/>
              </w:tabs>
              <w:jc w:val="center"/>
            </w:pPr>
            <w:r>
              <w:t>(&lt;0.001)</w:t>
            </w:r>
          </w:p>
        </w:tc>
        <w:tc>
          <w:tcPr>
            <w:tcW w:w="1536" w:type="dxa"/>
          </w:tcPr>
          <w:p w:rsidR="00970CAF" w:rsidRDefault="00D4384D">
            <w:pPr>
              <w:tabs>
                <w:tab w:val="left" w:pos="11775"/>
              </w:tabs>
              <w:jc w:val="center"/>
            </w:pPr>
            <w:r>
              <w:t>-0.162</w:t>
            </w:r>
          </w:p>
          <w:p w:rsidR="00970CAF" w:rsidRDefault="00D4384D">
            <w:pPr>
              <w:tabs>
                <w:tab w:val="left" w:pos="11775"/>
              </w:tabs>
              <w:jc w:val="center"/>
            </w:pPr>
            <w:r>
              <w:t>(&lt;0.001)</w:t>
            </w:r>
          </w:p>
        </w:tc>
        <w:tc>
          <w:tcPr>
            <w:tcW w:w="894" w:type="dxa"/>
          </w:tcPr>
          <w:p w:rsidR="00970CAF" w:rsidRDefault="00D4384D">
            <w:pPr>
              <w:tabs>
                <w:tab w:val="left" w:pos="11775"/>
              </w:tabs>
              <w:jc w:val="center"/>
            </w:pPr>
            <w:r>
              <w:t>Ref</w:t>
            </w:r>
          </w:p>
        </w:tc>
        <w:tc>
          <w:tcPr>
            <w:tcW w:w="1080" w:type="dxa"/>
          </w:tcPr>
          <w:p w:rsidR="00970CAF" w:rsidRDefault="00D4384D">
            <w:pPr>
              <w:tabs>
                <w:tab w:val="left" w:pos="11775"/>
              </w:tabs>
              <w:jc w:val="center"/>
            </w:pPr>
            <w:r>
              <w:t>-0.024</w:t>
            </w:r>
          </w:p>
          <w:p w:rsidR="00970CAF" w:rsidRDefault="00D4384D">
            <w:pPr>
              <w:tabs>
                <w:tab w:val="left" w:pos="11775"/>
              </w:tabs>
              <w:jc w:val="center"/>
            </w:pPr>
            <w:r>
              <w:t>(0.176)</w:t>
            </w:r>
          </w:p>
        </w:tc>
        <w:tc>
          <w:tcPr>
            <w:tcW w:w="1080" w:type="dxa"/>
          </w:tcPr>
          <w:p w:rsidR="00970CAF" w:rsidRDefault="00D4384D">
            <w:pPr>
              <w:tabs>
                <w:tab w:val="left" w:pos="11775"/>
              </w:tabs>
              <w:jc w:val="center"/>
            </w:pPr>
            <w:r>
              <w:t>-0.131</w:t>
            </w:r>
          </w:p>
          <w:p w:rsidR="00970CAF" w:rsidRDefault="00D4384D">
            <w:pPr>
              <w:tabs>
                <w:tab w:val="left" w:pos="11775"/>
              </w:tabs>
              <w:jc w:val="center"/>
            </w:pPr>
            <w:r>
              <w:t>(&lt;0.001)</w:t>
            </w:r>
          </w:p>
        </w:tc>
        <w:tc>
          <w:tcPr>
            <w:tcW w:w="1260" w:type="dxa"/>
          </w:tcPr>
          <w:p w:rsidR="00970CAF" w:rsidRDefault="00D4384D">
            <w:pPr>
              <w:tabs>
                <w:tab w:val="left" w:pos="11775"/>
              </w:tabs>
              <w:jc w:val="center"/>
            </w:pPr>
            <w:r>
              <w:t>-0.202</w:t>
            </w:r>
          </w:p>
          <w:p w:rsidR="00970CAF" w:rsidRDefault="00D4384D">
            <w:pPr>
              <w:tabs>
                <w:tab w:val="left" w:pos="11775"/>
              </w:tabs>
              <w:jc w:val="center"/>
            </w:pPr>
            <w:r>
              <w:t>(&lt;0.001)</w:t>
            </w:r>
          </w:p>
        </w:tc>
      </w:tr>
    </w:tbl>
    <w:p w:rsidR="00970CAF" w:rsidRDefault="00970CAF">
      <w:pPr>
        <w:tabs>
          <w:tab w:val="left" w:pos="11775"/>
        </w:tabs>
        <w:rPr>
          <w:b/>
        </w:rPr>
      </w:pPr>
    </w:p>
    <w:p w:rsidR="00970CAF" w:rsidRDefault="00D4384D">
      <w:pPr>
        <w:tabs>
          <w:tab w:val="left" w:pos="11775"/>
        </w:tabs>
      </w:pPr>
      <w:r>
        <w:rPr>
          <w:b/>
        </w:rPr>
        <w:t>Notes</w:t>
      </w:r>
      <w:r>
        <w:t>: Only the longitudinal effects from fully adjusted models are shown; NI=not impaired, PI=physically impaired, CI=cognitively impaired, CPI=cognitively and physically impaired; CDR-SB=CDR-sum of boxes; BNT=Boston naming test; TMA=Trail making part A; TMB=Trial making part B. Models are adjusted for age, gender, education, race, and baseline cognitive performance. Rates of decline in cognitive performance were higher in the CI and CPI groups than in the NI (reference) group. No significant differences were observed in the PI group.</w:t>
      </w:r>
    </w:p>
    <w:p w:rsidR="00970CAF" w:rsidRDefault="00970CAF"/>
    <w:sectPr w:rsidR="00970CAF">
      <w:pgSz w:w="15840" w:h="12240" w:orient="landscape"/>
      <w:pgMar w:top="1440" w:right="216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35D" w:rsidRDefault="0056735D">
      <w:r>
        <w:separator/>
      </w:r>
    </w:p>
  </w:endnote>
  <w:endnote w:type="continuationSeparator" w:id="0">
    <w:p w:rsidR="0056735D" w:rsidRDefault="00567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35D" w:rsidRDefault="0056735D">
      <w:r>
        <w:separator/>
      </w:r>
    </w:p>
  </w:footnote>
  <w:footnote w:type="continuationSeparator" w:id="0">
    <w:p w:rsidR="0056735D" w:rsidRDefault="005673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B85"/>
    <w:rsid w:val="0056735D"/>
    <w:rsid w:val="00970CAF"/>
    <w:rsid w:val="00A10B85"/>
    <w:rsid w:val="00C050A4"/>
    <w:rsid w:val="00D43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Table S2</vt:lpstr>
    </vt:vector>
  </TitlesOfParts>
  <Company>Home</Company>
  <LinksUpToDate>false</LinksUpToDate>
  <CharactersWithSpaces>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S2</dc:title>
  <dc:creator>MAGDA</dc:creator>
  <cp:lastModifiedBy>Potts, Nathaniel</cp:lastModifiedBy>
  <cp:revision>2</cp:revision>
  <dcterms:created xsi:type="dcterms:W3CDTF">2015-06-28T20:46:00Z</dcterms:created>
  <dcterms:modified xsi:type="dcterms:W3CDTF">2015-06-28T20:46:00Z</dcterms:modified>
</cp:coreProperties>
</file>