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D6EB2" w14:textId="146F8757" w:rsidR="001576FC" w:rsidRPr="001576FC" w:rsidRDefault="001576FC">
      <w:pPr>
        <w:rPr>
          <w:rFonts w:ascii="Arial" w:hAnsi="Arial" w:cs="Arial"/>
          <w:color w:val="000000" w:themeColor="text1"/>
        </w:rPr>
      </w:pPr>
    </w:p>
    <w:p w14:paraId="558D40C7" w14:textId="3C331C0F" w:rsidR="00291083" w:rsidRPr="00D51510" w:rsidRDefault="001576FC" w:rsidP="00967D50">
      <w:pPr>
        <w:spacing w:line="48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151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S2</w:t>
      </w:r>
      <w:r w:rsidR="00967D50" w:rsidRPr="00D515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515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</w:t>
      </w:r>
      <w:r w:rsidR="00291083" w:rsidRPr="00D515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015D30" w:rsidRPr="00D515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Abnormal stress MBF and CFR between</w:t>
      </w:r>
      <w:r w:rsidR="00291083" w:rsidRPr="00D515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HCM patients with and without PH</w:t>
      </w:r>
    </w:p>
    <w:tbl>
      <w:tblPr>
        <w:tblStyle w:val="TableNormal1"/>
        <w:tblW w:w="83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1"/>
        <w:gridCol w:w="1476"/>
        <w:gridCol w:w="1418"/>
        <w:gridCol w:w="1417"/>
        <w:gridCol w:w="851"/>
      </w:tblGrid>
      <w:tr w:rsidR="001576FC" w:rsidRPr="00D51510" w14:paraId="755F1C60" w14:textId="77777777" w:rsidTr="001576FC">
        <w:trPr>
          <w:trHeight w:val="897"/>
          <w:jc w:val="center"/>
        </w:trPr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AF414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Characteristics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25852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Total</w:t>
            </w:r>
          </w:p>
          <w:p w14:paraId="31B2E5FB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(n=89)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D9DC2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No PH</w:t>
            </w:r>
          </w:p>
          <w:p w14:paraId="6C09F191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(n=58)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3C90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PH</w:t>
            </w:r>
          </w:p>
          <w:p w14:paraId="167147F1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(n=31)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1A40C" w14:textId="77777777" w:rsidR="00291083" w:rsidRPr="00D51510" w:rsidRDefault="00291083" w:rsidP="001576FC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00D51510">
              <w:rPr>
                <w:b/>
                <w:color w:val="000000" w:themeColor="text1"/>
                <w:sz w:val="22"/>
                <w:szCs w:val="22"/>
              </w:rPr>
              <w:t>-value</w:t>
            </w:r>
          </w:p>
        </w:tc>
      </w:tr>
      <w:tr w:rsidR="001576FC" w:rsidRPr="00D51510" w14:paraId="07A569C2" w14:textId="77777777" w:rsidTr="001576FC">
        <w:trPr>
          <w:trHeight w:val="520"/>
          <w:jc w:val="center"/>
        </w:trPr>
        <w:tc>
          <w:tcPr>
            <w:tcW w:w="83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67F04574" w14:textId="5C7DCBAA" w:rsidR="00EE1F2C" w:rsidRPr="00D51510" w:rsidRDefault="00EE1F2C" w:rsidP="001576FC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Stress MBF</w:t>
            </w:r>
            <w:r w:rsidR="00E869ED" w:rsidRPr="00D51510">
              <w:rPr>
                <w:color w:val="000000" w:themeColor="text1"/>
                <w:sz w:val="22"/>
                <w:szCs w:val="22"/>
              </w:rPr>
              <w:sym w:font="Symbol" w:char="F0A3"/>
            </w:r>
            <w:r w:rsidRPr="00D51510">
              <w:rPr>
                <w:color w:val="000000" w:themeColor="text1"/>
                <w:sz w:val="22"/>
                <w:szCs w:val="22"/>
              </w:rPr>
              <w:t xml:space="preserve">1.8 ml/min/g, </w:t>
            </w:r>
            <w:proofErr w:type="gramStart"/>
            <w:r w:rsidRPr="00D51510">
              <w:rPr>
                <w:color w:val="000000" w:themeColor="text1"/>
                <w:sz w:val="22"/>
                <w:szCs w:val="22"/>
              </w:rPr>
              <w:t>n(</w:t>
            </w:r>
            <w:proofErr w:type="gramEnd"/>
            <w:r w:rsidRPr="00D51510">
              <w:rPr>
                <w:color w:val="000000" w:themeColor="text1"/>
                <w:sz w:val="22"/>
                <w:szCs w:val="22"/>
              </w:rPr>
              <w:t>%)</w:t>
            </w:r>
          </w:p>
        </w:tc>
      </w:tr>
      <w:tr w:rsidR="001576FC" w:rsidRPr="00D51510" w14:paraId="5E570858" w14:textId="77777777" w:rsidTr="00291083">
        <w:trPr>
          <w:trHeight w:val="300"/>
          <w:jc w:val="center"/>
        </w:trPr>
        <w:tc>
          <w:tcPr>
            <w:tcW w:w="3161" w:type="dxa"/>
            <w:tcBorders>
              <w:top w:val="nil"/>
              <w:bottom w:val="nil"/>
            </w:tcBorders>
          </w:tcPr>
          <w:p w14:paraId="6FD6D931" w14:textId="5652706D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bookmarkStart w:id="0" w:name="_Hlk535271458"/>
            <w:bookmarkStart w:id="1" w:name="_Hlk535271564"/>
            <w:r w:rsidRPr="00D51510">
              <w:rPr>
                <w:color w:val="000000" w:themeColor="text1"/>
                <w:sz w:val="22"/>
                <w:szCs w:val="22"/>
              </w:rPr>
              <w:t>G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lobal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14:paraId="205722F7" w14:textId="1F3CF560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3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6</w:t>
            </w:r>
            <w:r w:rsidRPr="00D51510">
              <w:rPr>
                <w:color w:val="000000" w:themeColor="text1"/>
                <w:sz w:val="22"/>
                <w:szCs w:val="22"/>
              </w:rPr>
              <w:t>(41)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9E52270" w14:textId="0E6DE770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18(31)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667122E" w14:textId="5ED3982E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8</w:t>
            </w:r>
            <w:r w:rsidRPr="00D51510">
              <w:rPr>
                <w:color w:val="000000" w:themeColor="text1"/>
                <w:sz w:val="22"/>
                <w:szCs w:val="22"/>
              </w:rPr>
              <w:t>(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58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B315356" w14:textId="6E2DC0B7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0.0</w:t>
            </w:r>
            <w:r w:rsidR="00EE1F2C"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13</w:t>
            </w:r>
          </w:p>
        </w:tc>
      </w:tr>
      <w:bookmarkEnd w:id="0"/>
      <w:tr w:rsidR="001576FC" w:rsidRPr="00D51510" w14:paraId="322AEBF6" w14:textId="77777777" w:rsidTr="00291083">
        <w:trPr>
          <w:trHeight w:val="300"/>
          <w:jc w:val="center"/>
        </w:trPr>
        <w:tc>
          <w:tcPr>
            <w:tcW w:w="3161" w:type="dxa"/>
            <w:tcBorders>
              <w:top w:val="nil"/>
            </w:tcBorders>
          </w:tcPr>
          <w:p w14:paraId="4BE80CC8" w14:textId="043E11DB" w:rsidR="00291083" w:rsidRPr="00D51510" w:rsidRDefault="00015D30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Anterior</w:t>
            </w:r>
          </w:p>
        </w:tc>
        <w:tc>
          <w:tcPr>
            <w:tcW w:w="1476" w:type="dxa"/>
            <w:tcBorders>
              <w:top w:val="nil"/>
            </w:tcBorders>
          </w:tcPr>
          <w:p w14:paraId="203F3551" w14:textId="0F6496F6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9</w:t>
            </w:r>
            <w:r w:rsidRPr="00D51510">
              <w:rPr>
                <w:color w:val="000000" w:themeColor="text1"/>
                <w:sz w:val="22"/>
                <w:szCs w:val="22"/>
              </w:rPr>
              <w:t>(5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5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</w:tcBorders>
          </w:tcPr>
          <w:p w14:paraId="33ED240A" w14:textId="4B0BD48C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27(46)</w:t>
            </w:r>
          </w:p>
        </w:tc>
        <w:tc>
          <w:tcPr>
            <w:tcW w:w="1417" w:type="dxa"/>
            <w:tcBorders>
              <w:top w:val="nil"/>
            </w:tcBorders>
          </w:tcPr>
          <w:p w14:paraId="2B8C75A4" w14:textId="0422230C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2</w:t>
            </w:r>
            <w:r w:rsidRPr="00D51510">
              <w:rPr>
                <w:color w:val="000000" w:themeColor="text1"/>
                <w:sz w:val="22"/>
                <w:szCs w:val="22"/>
              </w:rPr>
              <w:t>(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71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</w:tcBorders>
          </w:tcPr>
          <w:p w14:paraId="4689DE88" w14:textId="672A333C" w:rsidR="00291083" w:rsidRPr="00D51510" w:rsidRDefault="00EE1F2C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0.0</w:t>
            </w:r>
            <w:r w:rsidR="00B76CAD" w:rsidRPr="00D51510">
              <w:rPr>
                <w:b/>
                <w:color w:val="000000" w:themeColor="text1"/>
                <w:sz w:val="22"/>
                <w:szCs w:val="22"/>
              </w:rPr>
              <w:t>27</w:t>
            </w:r>
          </w:p>
        </w:tc>
      </w:tr>
      <w:tr w:rsidR="001576FC" w:rsidRPr="00D51510" w14:paraId="63588D7C" w14:textId="77777777" w:rsidTr="00291083">
        <w:trPr>
          <w:trHeight w:val="405"/>
          <w:jc w:val="center"/>
        </w:trPr>
        <w:tc>
          <w:tcPr>
            <w:tcW w:w="3161" w:type="dxa"/>
          </w:tcPr>
          <w:p w14:paraId="33AB0D11" w14:textId="3ABBA641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bookmarkStart w:id="2" w:name="_Hlk535271613"/>
            <w:r w:rsidRPr="00D51510">
              <w:rPr>
                <w:color w:val="000000" w:themeColor="text1"/>
                <w:sz w:val="22"/>
                <w:szCs w:val="22"/>
              </w:rPr>
              <w:t>Septal</w:t>
            </w:r>
          </w:p>
        </w:tc>
        <w:tc>
          <w:tcPr>
            <w:tcW w:w="1476" w:type="dxa"/>
          </w:tcPr>
          <w:p w14:paraId="442110B4" w14:textId="5ABA2F45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5</w:t>
            </w:r>
            <w:r w:rsidRPr="00D51510">
              <w:rPr>
                <w:color w:val="000000" w:themeColor="text1"/>
                <w:sz w:val="22"/>
                <w:szCs w:val="22"/>
              </w:rPr>
              <w:t>((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50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438AA6D4" w14:textId="1F6789F9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</w:t>
            </w:r>
            <w:r w:rsidR="0042017E" w:rsidRPr="00D51510">
              <w:rPr>
                <w:color w:val="000000" w:themeColor="text1"/>
                <w:sz w:val="22"/>
                <w:szCs w:val="22"/>
              </w:rPr>
              <w:t>5</w:t>
            </w:r>
            <w:r w:rsidRPr="00D51510">
              <w:rPr>
                <w:color w:val="000000" w:themeColor="text1"/>
                <w:sz w:val="22"/>
                <w:szCs w:val="22"/>
              </w:rPr>
              <w:t>(4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3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392ED9E6" w14:textId="73AA0A1F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20(64)</w:t>
            </w:r>
          </w:p>
        </w:tc>
        <w:tc>
          <w:tcPr>
            <w:tcW w:w="851" w:type="dxa"/>
          </w:tcPr>
          <w:p w14:paraId="556A1FF3" w14:textId="61AD203A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0.0</w:t>
            </w:r>
            <w:r w:rsidR="0042017E" w:rsidRPr="00D51510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1576FC" w:rsidRPr="00D51510" w14:paraId="45BA674E" w14:textId="77777777" w:rsidTr="001576FC">
        <w:trPr>
          <w:trHeight w:val="474"/>
          <w:jc w:val="center"/>
        </w:trPr>
        <w:tc>
          <w:tcPr>
            <w:tcW w:w="3161" w:type="dxa"/>
          </w:tcPr>
          <w:p w14:paraId="5738B094" w14:textId="7C7204FC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L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ateral</w:t>
            </w:r>
          </w:p>
        </w:tc>
        <w:tc>
          <w:tcPr>
            <w:tcW w:w="1476" w:type="dxa"/>
          </w:tcPr>
          <w:p w14:paraId="34DAF223" w14:textId="7496CF06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21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(2</w:t>
            </w:r>
            <w:r w:rsidRPr="00D51510">
              <w:rPr>
                <w:color w:val="000000" w:themeColor="text1"/>
                <w:sz w:val="22"/>
                <w:szCs w:val="22"/>
              </w:rPr>
              <w:t>3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4E87F06C" w14:textId="52876AC3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1</w:t>
            </w:r>
            <w:r w:rsidRPr="00D51510">
              <w:rPr>
                <w:color w:val="000000" w:themeColor="text1"/>
                <w:sz w:val="22"/>
                <w:szCs w:val="22"/>
              </w:rPr>
              <w:t>(1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9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501F328E" w14:textId="31ABB520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10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="00E869ED" w:rsidRPr="00D51510">
              <w:rPr>
                <w:color w:val="000000" w:themeColor="text1"/>
                <w:sz w:val="22"/>
                <w:szCs w:val="22"/>
              </w:rPr>
              <w:t>32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57E34AD3" w14:textId="30A6329B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0.1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59</w:t>
            </w:r>
          </w:p>
        </w:tc>
      </w:tr>
      <w:bookmarkEnd w:id="1"/>
      <w:tr w:rsidR="001576FC" w:rsidRPr="00D51510" w14:paraId="06E458B5" w14:textId="77777777" w:rsidTr="00291083">
        <w:trPr>
          <w:trHeight w:val="300"/>
          <w:jc w:val="center"/>
        </w:trPr>
        <w:tc>
          <w:tcPr>
            <w:tcW w:w="3161" w:type="dxa"/>
          </w:tcPr>
          <w:p w14:paraId="1B19EF55" w14:textId="72A2A134" w:rsidR="00291083" w:rsidRPr="00D51510" w:rsidRDefault="00015D30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Inferior</w:t>
            </w:r>
          </w:p>
        </w:tc>
        <w:tc>
          <w:tcPr>
            <w:tcW w:w="1476" w:type="dxa"/>
          </w:tcPr>
          <w:p w14:paraId="4CFF5B1B" w14:textId="3FA3551F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3</w:t>
            </w:r>
            <w:r w:rsidRPr="00D51510">
              <w:rPr>
                <w:color w:val="000000" w:themeColor="text1"/>
                <w:sz w:val="22"/>
                <w:szCs w:val="22"/>
              </w:rPr>
              <w:t>(4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8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7B5702BB" w14:textId="7114BDC8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5</w:t>
            </w:r>
            <w:r w:rsidRPr="00D51510">
              <w:rPr>
                <w:color w:val="000000" w:themeColor="text1"/>
                <w:sz w:val="22"/>
                <w:szCs w:val="22"/>
              </w:rPr>
              <w:t>(4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3</w:t>
            </w:r>
            <w:r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5410BDAA" w14:textId="50D44AF2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18(58)</w:t>
            </w:r>
          </w:p>
        </w:tc>
        <w:tc>
          <w:tcPr>
            <w:tcW w:w="851" w:type="dxa"/>
          </w:tcPr>
          <w:p w14:paraId="2148F4CE" w14:textId="3D66D274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  <w:u w:color="FF0000"/>
              </w:rPr>
            </w:pPr>
            <w:r w:rsidRPr="00D51510">
              <w:rPr>
                <w:color w:val="000000" w:themeColor="text1"/>
                <w:sz w:val="22"/>
                <w:szCs w:val="22"/>
                <w:u w:color="FF0000"/>
              </w:rPr>
              <w:t>0.1</w:t>
            </w:r>
            <w:r w:rsidR="00B76CAD" w:rsidRPr="00D51510">
              <w:rPr>
                <w:color w:val="000000" w:themeColor="text1"/>
                <w:sz w:val="22"/>
                <w:szCs w:val="22"/>
                <w:u w:color="FF0000"/>
              </w:rPr>
              <w:t>78</w:t>
            </w:r>
          </w:p>
        </w:tc>
      </w:tr>
      <w:tr w:rsidR="001576FC" w:rsidRPr="00D51510" w14:paraId="093A5B36" w14:textId="77777777" w:rsidTr="00313C4C">
        <w:trPr>
          <w:trHeight w:val="300"/>
          <w:jc w:val="center"/>
        </w:trPr>
        <w:tc>
          <w:tcPr>
            <w:tcW w:w="8323" w:type="dxa"/>
            <w:gridSpan w:val="5"/>
          </w:tcPr>
          <w:p w14:paraId="61F82F45" w14:textId="1A6A103D" w:rsidR="00EE1F2C" w:rsidRPr="00D51510" w:rsidRDefault="00EE1F2C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  <w:u w:color="FF0000"/>
              </w:rPr>
            </w:pPr>
            <w:bookmarkStart w:id="3" w:name="_Hlk535271357"/>
            <w:bookmarkEnd w:id="2"/>
            <w:r w:rsidRPr="00D51510">
              <w:rPr>
                <w:color w:val="000000" w:themeColor="text1"/>
                <w:sz w:val="22"/>
                <w:szCs w:val="22"/>
              </w:rPr>
              <w:t>MFR</w:t>
            </w:r>
            <w:r w:rsidR="00E869ED" w:rsidRPr="00D51510">
              <w:rPr>
                <w:color w:val="000000" w:themeColor="text1"/>
                <w:sz w:val="22"/>
                <w:szCs w:val="22"/>
              </w:rPr>
              <w:sym w:font="Symbol" w:char="F0A3"/>
            </w:r>
            <w:r w:rsidRPr="00D51510">
              <w:rPr>
                <w:color w:val="000000" w:themeColor="text1"/>
                <w:sz w:val="22"/>
                <w:szCs w:val="22"/>
              </w:rPr>
              <w:t>2</w:t>
            </w:r>
            <w:r w:rsidR="00B76CAD" w:rsidRPr="00D51510">
              <w:rPr>
                <w:color w:val="000000" w:themeColor="text1"/>
                <w:sz w:val="22"/>
                <w:szCs w:val="22"/>
              </w:rPr>
              <w:t>.5</w:t>
            </w:r>
            <w:r w:rsidRPr="00D51510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gramStart"/>
            <w:r w:rsidRPr="00D51510">
              <w:rPr>
                <w:color w:val="000000" w:themeColor="text1"/>
                <w:sz w:val="22"/>
                <w:szCs w:val="22"/>
              </w:rPr>
              <w:t>n(</w:t>
            </w:r>
            <w:proofErr w:type="gramEnd"/>
            <w:r w:rsidRPr="00D51510">
              <w:rPr>
                <w:color w:val="000000" w:themeColor="text1"/>
                <w:sz w:val="22"/>
                <w:szCs w:val="22"/>
              </w:rPr>
              <w:t>%)</w:t>
            </w:r>
          </w:p>
        </w:tc>
      </w:tr>
      <w:bookmarkEnd w:id="3"/>
      <w:tr w:rsidR="001576FC" w:rsidRPr="00D51510" w14:paraId="176D99F1" w14:textId="77777777" w:rsidTr="00291083">
        <w:trPr>
          <w:trHeight w:val="300"/>
          <w:jc w:val="center"/>
        </w:trPr>
        <w:tc>
          <w:tcPr>
            <w:tcW w:w="3161" w:type="dxa"/>
          </w:tcPr>
          <w:p w14:paraId="1EC9E4BC" w14:textId="45F5E5DE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Gl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obal</w:t>
            </w:r>
          </w:p>
        </w:tc>
        <w:tc>
          <w:tcPr>
            <w:tcW w:w="1476" w:type="dxa"/>
          </w:tcPr>
          <w:p w14:paraId="4258CA07" w14:textId="21675999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50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56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634B3E31" w14:textId="574185A2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26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45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589DBADC" w14:textId="15DE524C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24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77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36167AB1" w14:textId="37887BFC" w:rsidR="00291083" w:rsidRPr="00D51510" w:rsidRDefault="00291083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0.</w:t>
            </w:r>
            <w:r w:rsidR="00B76CAD"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003</w:t>
            </w:r>
          </w:p>
        </w:tc>
      </w:tr>
      <w:tr w:rsidR="001576FC" w:rsidRPr="00D51510" w14:paraId="07CC3BE0" w14:textId="77777777" w:rsidTr="00291083">
        <w:trPr>
          <w:trHeight w:val="404"/>
          <w:jc w:val="center"/>
        </w:trPr>
        <w:tc>
          <w:tcPr>
            <w:tcW w:w="3161" w:type="dxa"/>
          </w:tcPr>
          <w:p w14:paraId="62B76A85" w14:textId="55663F8A" w:rsidR="00291083" w:rsidRPr="00D51510" w:rsidRDefault="00015D30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Anterior</w:t>
            </w:r>
          </w:p>
        </w:tc>
        <w:tc>
          <w:tcPr>
            <w:tcW w:w="1476" w:type="dxa"/>
          </w:tcPr>
          <w:p w14:paraId="317E6475" w14:textId="32748A56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56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63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58E0A4CF" w14:textId="4BFFA1D4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30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52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3D1F7DE7" w14:textId="66A60D20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26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84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7C2DE58D" w14:textId="66BFAABF" w:rsidR="00291083" w:rsidRPr="00D51510" w:rsidRDefault="00EE1F2C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</w:rPr>
              <w:t>0.</w:t>
            </w:r>
            <w:r w:rsidR="00B76CAD" w:rsidRPr="00D51510">
              <w:rPr>
                <w:b/>
                <w:color w:val="000000" w:themeColor="text1"/>
                <w:sz w:val="22"/>
                <w:szCs w:val="22"/>
              </w:rPr>
              <w:t>003</w:t>
            </w:r>
          </w:p>
        </w:tc>
      </w:tr>
      <w:tr w:rsidR="001576FC" w:rsidRPr="00D51510" w14:paraId="1AF57861" w14:textId="77777777" w:rsidTr="00291083">
        <w:trPr>
          <w:trHeight w:val="404"/>
          <w:jc w:val="center"/>
        </w:trPr>
        <w:tc>
          <w:tcPr>
            <w:tcW w:w="3161" w:type="dxa"/>
          </w:tcPr>
          <w:p w14:paraId="2C4C6944" w14:textId="6F5E7A10" w:rsidR="00291083" w:rsidRPr="00D51510" w:rsidRDefault="00291083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Septal</w:t>
            </w:r>
          </w:p>
        </w:tc>
        <w:tc>
          <w:tcPr>
            <w:tcW w:w="1476" w:type="dxa"/>
          </w:tcPr>
          <w:p w14:paraId="0A6F128C" w14:textId="09A02FF9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42(47)</w:t>
            </w:r>
          </w:p>
        </w:tc>
        <w:tc>
          <w:tcPr>
            <w:tcW w:w="1418" w:type="dxa"/>
          </w:tcPr>
          <w:p w14:paraId="62274B37" w14:textId="67760A8C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23(40)</w:t>
            </w:r>
          </w:p>
        </w:tc>
        <w:tc>
          <w:tcPr>
            <w:tcW w:w="1417" w:type="dxa"/>
          </w:tcPr>
          <w:p w14:paraId="187D6C54" w14:textId="2FA143DF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19((61)</w:t>
            </w:r>
          </w:p>
        </w:tc>
        <w:tc>
          <w:tcPr>
            <w:tcW w:w="851" w:type="dxa"/>
          </w:tcPr>
          <w:p w14:paraId="1EB182D9" w14:textId="3072D1ED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  <w:u w:color="FF0000"/>
              </w:rPr>
            </w:pPr>
            <w:r w:rsidRPr="00D51510">
              <w:rPr>
                <w:color w:val="000000" w:themeColor="text1"/>
                <w:sz w:val="22"/>
                <w:szCs w:val="22"/>
                <w:u w:color="FF0000"/>
              </w:rPr>
              <w:t>0.051</w:t>
            </w:r>
          </w:p>
        </w:tc>
      </w:tr>
      <w:tr w:rsidR="001576FC" w:rsidRPr="00D51510" w14:paraId="6DFC8DDE" w14:textId="77777777" w:rsidTr="00291083">
        <w:trPr>
          <w:trHeight w:val="404"/>
          <w:jc w:val="center"/>
        </w:trPr>
        <w:tc>
          <w:tcPr>
            <w:tcW w:w="3161" w:type="dxa"/>
          </w:tcPr>
          <w:p w14:paraId="718D985C" w14:textId="27FA4EA0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L</w:t>
            </w:r>
            <w:r w:rsidR="00291083" w:rsidRPr="00D51510">
              <w:rPr>
                <w:color w:val="000000" w:themeColor="text1"/>
                <w:sz w:val="22"/>
                <w:szCs w:val="22"/>
              </w:rPr>
              <w:t>ateral</w:t>
            </w:r>
          </w:p>
        </w:tc>
        <w:tc>
          <w:tcPr>
            <w:tcW w:w="1476" w:type="dxa"/>
          </w:tcPr>
          <w:p w14:paraId="601AF5DC" w14:textId="7F5592EA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36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(13)</w:t>
            </w:r>
          </w:p>
        </w:tc>
        <w:tc>
          <w:tcPr>
            <w:tcW w:w="1418" w:type="dxa"/>
          </w:tcPr>
          <w:p w14:paraId="0556DD41" w14:textId="79D0BEFD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18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31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7072C267" w14:textId="76C9899A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18</w:t>
            </w:r>
            <w:r w:rsidR="00967D50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58</w:t>
            </w:r>
            <w:r w:rsidR="00967D50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7D98E7AB" w14:textId="43CDD368" w:rsidR="00291083" w:rsidRPr="00D51510" w:rsidRDefault="00EE1F2C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  <w:u w:color="FF0000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0.</w:t>
            </w:r>
            <w:r w:rsidR="00B76CAD"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013</w:t>
            </w:r>
          </w:p>
        </w:tc>
      </w:tr>
      <w:tr w:rsidR="001576FC" w:rsidRPr="00D51510" w14:paraId="5B15CBA8" w14:textId="77777777" w:rsidTr="001576FC">
        <w:trPr>
          <w:trHeight w:val="293"/>
          <w:jc w:val="center"/>
        </w:trPr>
        <w:tc>
          <w:tcPr>
            <w:tcW w:w="3161" w:type="dxa"/>
          </w:tcPr>
          <w:p w14:paraId="4897B2E1" w14:textId="4D0DBC6A" w:rsidR="00291083" w:rsidRPr="00D51510" w:rsidRDefault="00EE1F2C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I</w:t>
            </w:r>
            <w:r w:rsidR="00015D30" w:rsidRPr="00D51510">
              <w:rPr>
                <w:color w:val="000000" w:themeColor="text1"/>
                <w:sz w:val="22"/>
                <w:szCs w:val="22"/>
              </w:rPr>
              <w:t>nferior</w:t>
            </w:r>
          </w:p>
        </w:tc>
        <w:tc>
          <w:tcPr>
            <w:tcW w:w="1476" w:type="dxa"/>
          </w:tcPr>
          <w:p w14:paraId="7EB632A8" w14:textId="506A4F38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47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53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2EC25DD4" w14:textId="2D51A5F7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26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45</w:t>
            </w:r>
            <w:r w:rsidR="00EE1F2C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71965F29" w14:textId="1917B325" w:rsidR="00291083" w:rsidRPr="00D51510" w:rsidRDefault="00B76CAD" w:rsidP="00E869ED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D51510">
              <w:rPr>
                <w:color w:val="000000" w:themeColor="text1"/>
                <w:sz w:val="22"/>
                <w:szCs w:val="22"/>
              </w:rPr>
              <w:t>21</w:t>
            </w:r>
            <w:r w:rsidR="00967D50" w:rsidRPr="00D51510">
              <w:rPr>
                <w:color w:val="000000" w:themeColor="text1"/>
                <w:sz w:val="22"/>
                <w:szCs w:val="22"/>
              </w:rPr>
              <w:t>(</w:t>
            </w:r>
            <w:r w:rsidRPr="00D51510">
              <w:rPr>
                <w:color w:val="000000" w:themeColor="text1"/>
                <w:sz w:val="22"/>
                <w:szCs w:val="22"/>
              </w:rPr>
              <w:t>68</w:t>
            </w:r>
            <w:r w:rsidR="00967D50" w:rsidRPr="00D515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30CD9D3C" w14:textId="40CFDC24" w:rsidR="00291083" w:rsidRPr="00D51510" w:rsidRDefault="00EE1F2C" w:rsidP="00E869ED">
            <w:pPr>
              <w:spacing w:line="360" w:lineRule="auto"/>
              <w:rPr>
                <w:b/>
                <w:color w:val="000000" w:themeColor="text1"/>
                <w:sz w:val="22"/>
                <w:szCs w:val="22"/>
                <w:u w:color="FF0000"/>
              </w:rPr>
            </w:pPr>
            <w:r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0.0</w:t>
            </w:r>
            <w:r w:rsidR="00B76CAD" w:rsidRPr="00D51510">
              <w:rPr>
                <w:b/>
                <w:color w:val="000000" w:themeColor="text1"/>
                <w:sz w:val="22"/>
                <w:szCs w:val="22"/>
                <w:u w:color="FF0000"/>
              </w:rPr>
              <w:t>39</w:t>
            </w:r>
          </w:p>
        </w:tc>
      </w:tr>
    </w:tbl>
    <w:p w14:paraId="68309704" w14:textId="77777777" w:rsidR="001576FC" w:rsidRPr="00D51510" w:rsidRDefault="001576FC" w:rsidP="001576FC">
      <w:pPr>
        <w:spacing w:line="240" w:lineRule="auto"/>
        <w:outlineLvl w:val="0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397095FA" w14:textId="50518C6A" w:rsidR="00D51510" w:rsidRPr="00756A26" w:rsidRDefault="00D51510" w:rsidP="00D51510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4" w:name="_GoBack"/>
      <w:bookmarkEnd w:id="4"/>
      <w:r w:rsidRPr="00BA5693">
        <w:rPr>
          <w:rFonts w:ascii="Times New Roman" w:hAnsi="Times New Roman" w:cs="Times New Roman"/>
        </w:rPr>
        <w:t>Data are expressed as number of the patients(percentage).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PH:pulmonary</w:t>
      </w:r>
      <w:proofErr w:type="spellEnd"/>
      <w:proofErr w:type="gramEnd"/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hypertension; MBF: myocardial blood flow; MFR: myocardial flow reserve.</w:t>
      </w:r>
    </w:p>
    <w:p w14:paraId="7D0170D5" w14:textId="1116F98F" w:rsidR="001576FC" w:rsidRPr="00D51510" w:rsidRDefault="001576FC" w:rsidP="001576FC">
      <w:pPr>
        <w:spacing w:line="240" w:lineRule="auto"/>
        <w:outlineLvl w:val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5151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.</w:t>
      </w:r>
    </w:p>
    <w:sectPr w:rsidR="001576FC" w:rsidRPr="00D51510" w:rsidSect="00D51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F81A9" w14:textId="77777777" w:rsidR="0029737D" w:rsidRDefault="0029737D" w:rsidP="008C0B6C">
      <w:pPr>
        <w:spacing w:after="0" w:line="240" w:lineRule="auto"/>
      </w:pPr>
      <w:r>
        <w:separator/>
      </w:r>
    </w:p>
  </w:endnote>
  <w:endnote w:type="continuationSeparator" w:id="0">
    <w:p w14:paraId="57F71C76" w14:textId="77777777" w:rsidR="0029737D" w:rsidRDefault="0029737D" w:rsidP="008C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B1C0F" w14:textId="77777777" w:rsidR="0029737D" w:rsidRDefault="0029737D" w:rsidP="008C0B6C">
      <w:pPr>
        <w:spacing w:after="0" w:line="240" w:lineRule="auto"/>
      </w:pPr>
      <w:r>
        <w:separator/>
      </w:r>
    </w:p>
  </w:footnote>
  <w:footnote w:type="continuationSeparator" w:id="0">
    <w:p w14:paraId="75DFBC66" w14:textId="77777777" w:rsidR="0029737D" w:rsidRDefault="0029737D" w:rsidP="008C0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2F"/>
    <w:rsid w:val="00015D30"/>
    <w:rsid w:val="000E15C5"/>
    <w:rsid w:val="00110C74"/>
    <w:rsid w:val="001274A0"/>
    <w:rsid w:val="001576FC"/>
    <w:rsid w:val="001629CF"/>
    <w:rsid w:val="001C3A8A"/>
    <w:rsid w:val="001E15BA"/>
    <w:rsid w:val="00215685"/>
    <w:rsid w:val="00275DAD"/>
    <w:rsid w:val="00291083"/>
    <w:rsid w:val="0029362F"/>
    <w:rsid w:val="0029737D"/>
    <w:rsid w:val="003C1B7C"/>
    <w:rsid w:val="003C2C67"/>
    <w:rsid w:val="003E514A"/>
    <w:rsid w:val="003E6880"/>
    <w:rsid w:val="00413ED2"/>
    <w:rsid w:val="0042017E"/>
    <w:rsid w:val="00426197"/>
    <w:rsid w:val="00435967"/>
    <w:rsid w:val="00441219"/>
    <w:rsid w:val="0047431F"/>
    <w:rsid w:val="00491021"/>
    <w:rsid w:val="004B2DA9"/>
    <w:rsid w:val="004B74FB"/>
    <w:rsid w:val="00503946"/>
    <w:rsid w:val="00515049"/>
    <w:rsid w:val="005744A1"/>
    <w:rsid w:val="005967AC"/>
    <w:rsid w:val="005C1DB7"/>
    <w:rsid w:val="005C3B30"/>
    <w:rsid w:val="005D410C"/>
    <w:rsid w:val="006318CD"/>
    <w:rsid w:val="006361C3"/>
    <w:rsid w:val="00691A20"/>
    <w:rsid w:val="006D1B07"/>
    <w:rsid w:val="00780A3C"/>
    <w:rsid w:val="007E00B7"/>
    <w:rsid w:val="0084763B"/>
    <w:rsid w:val="00897BB5"/>
    <w:rsid w:val="008C0B6C"/>
    <w:rsid w:val="00952C9A"/>
    <w:rsid w:val="009677D6"/>
    <w:rsid w:val="00967D50"/>
    <w:rsid w:val="00A07382"/>
    <w:rsid w:val="00A3576C"/>
    <w:rsid w:val="00A75FE9"/>
    <w:rsid w:val="00AA49D4"/>
    <w:rsid w:val="00AB2805"/>
    <w:rsid w:val="00B5275F"/>
    <w:rsid w:val="00B74629"/>
    <w:rsid w:val="00B76CAD"/>
    <w:rsid w:val="00B7782C"/>
    <w:rsid w:val="00BB35FF"/>
    <w:rsid w:val="00BB4027"/>
    <w:rsid w:val="00BC734A"/>
    <w:rsid w:val="00BF46CD"/>
    <w:rsid w:val="00C01D10"/>
    <w:rsid w:val="00C11C2C"/>
    <w:rsid w:val="00C6246C"/>
    <w:rsid w:val="00CC583D"/>
    <w:rsid w:val="00D123FA"/>
    <w:rsid w:val="00D469BC"/>
    <w:rsid w:val="00D51510"/>
    <w:rsid w:val="00D81DDA"/>
    <w:rsid w:val="00DA7E8B"/>
    <w:rsid w:val="00E22414"/>
    <w:rsid w:val="00E25584"/>
    <w:rsid w:val="00E56BB5"/>
    <w:rsid w:val="00E64472"/>
    <w:rsid w:val="00E869ED"/>
    <w:rsid w:val="00EE1F2C"/>
    <w:rsid w:val="00F60B07"/>
    <w:rsid w:val="00FD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205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25584"/>
  </w:style>
  <w:style w:type="character" w:styleId="a4">
    <w:name w:val="Strong"/>
    <w:basedOn w:val="a0"/>
    <w:uiPriority w:val="22"/>
    <w:qFormat/>
    <w:rsid w:val="00E25584"/>
    <w:rPr>
      <w:b/>
      <w:bCs/>
    </w:rPr>
  </w:style>
  <w:style w:type="paragraph" w:styleId="a5">
    <w:name w:val="header"/>
    <w:basedOn w:val="a"/>
    <w:link w:val="a6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8C0B6C"/>
  </w:style>
  <w:style w:type="paragraph" w:styleId="a7">
    <w:name w:val="footer"/>
    <w:basedOn w:val="a"/>
    <w:link w:val="a8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8C0B6C"/>
  </w:style>
  <w:style w:type="paragraph" w:styleId="a9">
    <w:name w:val="List Paragraph"/>
    <w:basedOn w:val="a"/>
    <w:uiPriority w:val="34"/>
    <w:qFormat/>
    <w:rsid w:val="008C0B6C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91A20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691A20"/>
    <w:rPr>
      <w:color w:val="954F72"/>
      <w:u w:val="single"/>
    </w:rPr>
  </w:style>
  <w:style w:type="paragraph" w:customStyle="1" w:styleId="xl64">
    <w:name w:val="xl64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xl65">
    <w:name w:val="xl65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24"/>
      <w:szCs w:val="24"/>
      <w:lang w:eastAsia="zh-CN"/>
    </w:rPr>
  </w:style>
  <w:style w:type="paragraph" w:customStyle="1" w:styleId="xl66">
    <w:name w:val="xl66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32"/>
      <w:szCs w:val="32"/>
      <w:lang w:eastAsia="zh-CN"/>
    </w:rPr>
  </w:style>
  <w:style w:type="table" w:customStyle="1" w:styleId="TableNormal1">
    <w:name w:val="Table Normal1"/>
    <w:rsid w:val="00291083"/>
    <w:pPr>
      <w:pBdr>
        <w:top w:val="nil"/>
        <w:left w:val="nil"/>
        <w:bottom w:val="nil"/>
        <w:right w:val="nil"/>
        <w:between w:val="nil"/>
        <w:bar w:val="nil"/>
      </w:pBdr>
      <w:spacing w:after="80" w:line="240" w:lineRule="auto"/>
    </w:pPr>
    <w:rPr>
      <w:rFonts w:ascii="Times New Roman" w:hAnsi="Times New Roman" w:cs="Times New Roman"/>
      <w:sz w:val="20"/>
      <w:szCs w:val="20"/>
      <w:bdr w:val="nil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 Zhao</dc:creator>
  <cp:lastModifiedBy>Zhao Min</cp:lastModifiedBy>
  <cp:revision>3</cp:revision>
  <dcterms:created xsi:type="dcterms:W3CDTF">2019-02-26T00:42:00Z</dcterms:created>
  <dcterms:modified xsi:type="dcterms:W3CDTF">2019-02-26T04:10:00Z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-1090694497</vt:i4>
  </property>
  <property fmtid="{D5CDD505-2E9C-101B-9397-08002B2CF9AE}" pid="3" name="_NewReviewCycle">
    <vt:lpwstr/>
  </property>
  <property fmtid="{D5CDD505-2E9C-101B-9397-08002B2CF9AE}" pid="4" name="_EmailSubject">
    <vt:lpwstr>plos one</vt:lpwstr>
  </property>
  <property fmtid="{D5CDD505-2E9C-101B-9397-08002B2CF9AE}" pid="5" name="_AuthorEmail">
    <vt:lpwstr>yunzhou@wustl.edu</vt:lpwstr>
  </property>
  <property fmtid="{D5CDD505-2E9C-101B-9397-08002B2CF9AE}" pid="6" name="_AuthorEmailDisplayName">
    <vt:lpwstr>Zhou, Yun</vt:lpwstr>
  </property>
</Properties>
</file>