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0B7" w:rsidRDefault="00226B1D">
      <w:pPr>
        <w:spacing w:line="480" w:lineRule="auto"/>
        <w:contextualSpacing w:val="0"/>
        <w:rPr>
          <w:sz w:val="20"/>
          <w:szCs w:val="20"/>
        </w:rPr>
      </w:pPr>
      <w:r>
        <w:rPr>
          <w:b/>
          <w:sz w:val="20"/>
          <w:szCs w:val="20"/>
        </w:rPr>
        <w:t xml:space="preserve">Supplementary Table 1. </w:t>
      </w:r>
      <w:r>
        <w:rPr>
          <w:sz w:val="20"/>
          <w:szCs w:val="20"/>
        </w:rPr>
        <w:t>Baseline characteristics of completers and non-completers</w:t>
      </w:r>
      <w:r>
        <w:rPr>
          <w:sz w:val="20"/>
          <w:szCs w:val="20"/>
        </w:rPr>
        <w:t xml:space="preserve"> (CCI Type 2 Diabetes, CCI Prediabetes and UC Type 2 Diabetes)</w:t>
      </w:r>
    </w:p>
    <w:p w:rsidR="007730B7" w:rsidRDefault="007730B7">
      <w:pPr>
        <w:spacing w:line="240" w:lineRule="auto"/>
        <w:contextualSpacing w:val="0"/>
        <w:rPr>
          <w:sz w:val="20"/>
          <w:szCs w:val="20"/>
        </w:rPr>
      </w:pPr>
    </w:p>
    <w:tbl>
      <w:tblPr>
        <w:tblStyle w:val="PlainTable2"/>
        <w:tblW w:w="13680" w:type="dxa"/>
        <w:tblLayout w:type="fixed"/>
        <w:tblLook w:val="0400" w:firstRow="0" w:lastRow="0" w:firstColumn="0" w:lastColumn="0" w:noHBand="0" w:noVBand="1"/>
      </w:tblPr>
      <w:tblGrid>
        <w:gridCol w:w="3960"/>
        <w:gridCol w:w="630"/>
        <w:gridCol w:w="1815"/>
        <w:gridCol w:w="570"/>
        <w:gridCol w:w="1920"/>
        <w:gridCol w:w="630"/>
        <w:gridCol w:w="1920"/>
        <w:gridCol w:w="2235"/>
      </w:tblGrid>
      <w:tr w:rsidR="007730B7" w:rsidRPr="00226B1D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2445" w:type="dxa"/>
            <w:gridSpan w:val="2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All</w:t>
            </w:r>
          </w:p>
        </w:tc>
        <w:tc>
          <w:tcPr>
            <w:tcW w:w="2490" w:type="dxa"/>
            <w:gridSpan w:val="2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Completers with PSQI data</w:t>
            </w:r>
          </w:p>
        </w:tc>
        <w:tc>
          <w:tcPr>
            <w:tcW w:w="2550" w:type="dxa"/>
            <w:gridSpan w:val="2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Non-completers without PSQI data</w:t>
            </w:r>
          </w:p>
        </w:tc>
        <w:tc>
          <w:tcPr>
            <w:tcW w:w="2235" w:type="dxa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 xml:space="preserve">Completers-Non Completers </w:t>
            </w:r>
          </w:p>
        </w:tc>
      </w:tr>
      <w:tr w:rsidR="007730B7" w:rsidRPr="00226B1D" w:rsidTr="00226B1D">
        <w:trPr>
          <w:trHeight w:val="420"/>
        </w:trPr>
        <w:tc>
          <w:tcPr>
            <w:tcW w:w="396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N</w:t>
            </w:r>
          </w:p>
        </w:tc>
        <w:tc>
          <w:tcPr>
            <w:tcW w:w="1815" w:type="dxa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Median (IQR)</w:t>
            </w:r>
          </w:p>
        </w:tc>
        <w:tc>
          <w:tcPr>
            <w:tcW w:w="570" w:type="dxa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N</w:t>
            </w:r>
          </w:p>
        </w:tc>
        <w:tc>
          <w:tcPr>
            <w:tcW w:w="1920" w:type="dxa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Median (IQR)</w:t>
            </w:r>
          </w:p>
        </w:tc>
        <w:tc>
          <w:tcPr>
            <w:tcW w:w="630" w:type="dxa"/>
          </w:tcPr>
          <w:p w:rsidR="007730B7" w:rsidRPr="00226B1D" w:rsidRDefault="00226B1D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>N</w:t>
            </w:r>
          </w:p>
        </w:tc>
        <w:tc>
          <w:tcPr>
            <w:tcW w:w="1920" w:type="dxa"/>
          </w:tcPr>
          <w:p w:rsidR="007730B7" w:rsidRPr="00226B1D" w:rsidRDefault="00226B1D">
            <w:pPr>
              <w:contextualSpacing w:val="0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 xml:space="preserve">Median (IQR) </w:t>
            </w:r>
          </w:p>
        </w:tc>
        <w:tc>
          <w:tcPr>
            <w:tcW w:w="2235" w:type="dxa"/>
          </w:tcPr>
          <w:p w:rsidR="007730B7" w:rsidRPr="00226B1D" w:rsidRDefault="00226B1D">
            <w:pPr>
              <w:contextualSpacing w:val="0"/>
              <w:rPr>
                <w:b/>
                <w:sz w:val="20"/>
                <w:szCs w:val="20"/>
              </w:rPr>
            </w:pPr>
            <w:r w:rsidRPr="00226B1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 P</w:t>
            </w:r>
            <w:r w:rsidRPr="00226B1D">
              <w:rPr>
                <w:b/>
                <w:sz w:val="20"/>
                <w:szCs w:val="20"/>
              </w:rPr>
              <w:t>-value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Age (years)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230    96  66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(12)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(13)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(13)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158    66    52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(11)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(12)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(13)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72   30  14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(14)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(20)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(12)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</w:t>
            </w:r>
          </w:p>
        </w:tc>
      </w:tr>
      <w:tr w:rsidR="007730B7" w:rsidTr="00226B1D">
        <w:trPr>
          <w:trHeight w:val="118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Female (%)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33.5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25.0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40.9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36.1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28.8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40.4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27.8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16.7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42.9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Body weight (kg)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113.4 (30.8)</w:t>
            </w:r>
            <w:r>
              <w:rPr>
                <w:sz w:val="20"/>
                <w:szCs w:val="20"/>
              </w:rPr>
              <w:br/>
              <w:t>106.0 (29.5)</w:t>
            </w:r>
            <w:r>
              <w:rPr>
                <w:sz w:val="20"/>
                <w:szCs w:val="20"/>
              </w:rPr>
              <w:br/>
              <w:t>103.5 (26.9)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110.6 (29.4)</w:t>
            </w:r>
            <w:r>
              <w:rPr>
                <w:sz w:val="20"/>
                <w:szCs w:val="20"/>
              </w:rPr>
              <w:br/>
              <w:t>107.9 (34.3)</w:t>
            </w:r>
            <w:r>
              <w:rPr>
                <w:sz w:val="20"/>
                <w:szCs w:val="20"/>
              </w:rPr>
              <w:br/>
              <w:t>105.1 (28.9)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116.6 (34.7)</w:t>
            </w:r>
            <w:r>
              <w:rPr>
                <w:sz w:val="20"/>
                <w:szCs w:val="20"/>
              </w:rPr>
              <w:br/>
              <w:t>102.5 (22.0)</w:t>
            </w:r>
            <w:r>
              <w:rPr>
                <w:sz w:val="20"/>
                <w:szCs w:val="20"/>
              </w:rPr>
              <w:br/>
              <w:t xml:space="preserve">  98.9 (21.7)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</w:t>
            </w:r>
          </w:p>
        </w:tc>
      </w:tr>
      <w:tr w:rsidR="007730B7" w:rsidTr="00226B1D">
        <w:trPr>
          <w:trHeight w:val="7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BMI (kg/m</w:t>
            </w:r>
            <w:r>
              <w:rPr>
                <w:b/>
                <w:sz w:val="20"/>
                <w:szCs w:val="20"/>
                <w:highlight w:val="white"/>
                <w:vertAlign w:val="superscript"/>
              </w:rPr>
              <w:t>2</w:t>
            </w:r>
            <w:r>
              <w:rPr>
                <w:b/>
                <w:sz w:val="20"/>
                <w:szCs w:val="20"/>
                <w:highlight w:val="white"/>
              </w:rPr>
              <w:t>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39.2 (10.6)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37.9 (8.9)</w:t>
            </w:r>
            <w:r>
              <w:rPr>
                <w:sz w:val="20"/>
                <w:szCs w:val="20"/>
              </w:rPr>
              <w:br/>
              <w:t xml:space="preserve"> 34.7 (10.2)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39.0 (10.6)</w:t>
            </w:r>
            <w:r>
              <w:rPr>
                <w:sz w:val="20"/>
                <w:szCs w:val="20"/>
              </w:rPr>
              <w:br/>
              <w:t>37.8 (9.8)</w:t>
            </w:r>
            <w:r>
              <w:rPr>
                <w:sz w:val="20"/>
                <w:szCs w:val="20"/>
              </w:rPr>
              <w:br/>
              <w:t>35.3 (10.2)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 (11.5)</w:t>
            </w:r>
            <w:r>
              <w:rPr>
                <w:sz w:val="20"/>
                <w:szCs w:val="20"/>
              </w:rPr>
              <w:br/>
              <w:t>37.9 (5.3)</w:t>
            </w:r>
            <w:r>
              <w:rPr>
                <w:sz w:val="20"/>
                <w:szCs w:val="20"/>
              </w:rPr>
              <w:br/>
              <w:t>33.7(8.5)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Fasting glucose (mg/</w:t>
            </w:r>
            <w:proofErr w:type="spellStart"/>
            <w:r>
              <w:rPr>
                <w:b/>
                <w:sz w:val="20"/>
                <w:szCs w:val="20"/>
              </w:rPr>
              <w:t>dL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147.00 (72.00)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107.00 (16.00)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136.00 (68.00)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147.50 (64.00)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107.00 (17.25)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138.50 (69.50)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145.00 (83.50)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107.00 (10.50)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123.00 (61.00)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</w:t>
            </w:r>
          </w:p>
        </w:tc>
      </w:tr>
      <w:tr w:rsidR="007730B7" w:rsidTr="00226B1D">
        <w:trPr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Hemoglobin A1c (%)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(1.7)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 (0.3)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 (2.0)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(1.6)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 (0.3)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 (2.2)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 (1.9)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 (0.3)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 (1.2)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HOMA-IR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  <w:p w:rsidR="007730B7" w:rsidRDefault="007730B7">
            <w:pPr>
              <w:contextualSpacing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 (8.9)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5.3 (5.2)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 (9.4)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 (8.0)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 (5.3)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5.9(9.9)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20" w:type="dxa"/>
          </w:tcPr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 (12.0)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 (5.6)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 (7.6)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0.36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</w:tr>
      <w:tr w:rsidR="007730B7" w:rsidTr="00226B1D">
        <w:trPr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hsC</w:t>
            </w:r>
            <w:proofErr w:type="spellEnd"/>
            <w:r>
              <w:rPr>
                <w:b/>
                <w:sz w:val="20"/>
                <w:szCs w:val="20"/>
              </w:rPr>
              <w:t>-reactive protein (</w:t>
            </w:r>
            <w:proofErr w:type="spellStart"/>
            <w:r>
              <w:rPr>
                <w:b/>
                <w:sz w:val="20"/>
                <w:szCs w:val="20"/>
              </w:rPr>
              <w:t>nmol</w:t>
            </w:r>
            <w:proofErr w:type="spellEnd"/>
            <w:r>
              <w:rPr>
                <w:b/>
                <w:sz w:val="20"/>
                <w:szCs w:val="20"/>
              </w:rPr>
              <w:t xml:space="preserve"> L</w:t>
            </w:r>
            <w:r>
              <w:rPr>
                <w:b/>
                <w:sz w:val="20"/>
                <w:szCs w:val="20"/>
                <w:vertAlign w:val="superscript"/>
              </w:rPr>
              <w:t>-1</w:t>
            </w:r>
            <w:r>
              <w:rPr>
                <w:b/>
                <w:sz w:val="20"/>
                <w:szCs w:val="20"/>
              </w:rPr>
              <w:t>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 (8.2)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 (5.9)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(7.6)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(8.1)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4.2 (4.2)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 (8.0)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 (8.5)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 (6.9)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 (5.7)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0.23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Beta-</w:t>
            </w:r>
            <w:proofErr w:type="spellStart"/>
            <w:r>
              <w:rPr>
                <w:b/>
                <w:sz w:val="20"/>
                <w:szCs w:val="20"/>
              </w:rPr>
              <w:t>hydroxybutyrate</w:t>
            </w:r>
            <w:proofErr w:type="spellEnd"/>
            <w:r>
              <w:rPr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sz w:val="20"/>
                <w:szCs w:val="20"/>
              </w:rPr>
              <w:t>mmol</w:t>
            </w:r>
            <w:proofErr w:type="spellEnd"/>
            <w:r>
              <w:rPr>
                <w:b/>
                <w:sz w:val="20"/>
                <w:szCs w:val="20"/>
              </w:rPr>
              <w:t xml:space="preserve"> L</w:t>
            </w:r>
            <w:r>
              <w:rPr>
                <w:b/>
                <w:sz w:val="20"/>
                <w:szCs w:val="20"/>
                <w:vertAlign w:val="superscript"/>
              </w:rPr>
              <w:t>-1</w:t>
            </w:r>
            <w:r>
              <w:rPr>
                <w:b/>
                <w:sz w:val="20"/>
                <w:szCs w:val="20"/>
              </w:rPr>
              <w:t>)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0.12 (0.12)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 (0.07)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0.10 (0.09)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0.12 (0.12)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 (0.08)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 (0.09)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0.12 (0.12)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 (0.07)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 (0.08)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</w:t>
            </w:r>
          </w:p>
        </w:tc>
      </w:tr>
      <w:tr w:rsidR="007730B7" w:rsidTr="00226B1D">
        <w:trPr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Global PSQI Score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 (5.00)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 (4.00)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 (5.00)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 (4.00)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 (4.00)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 (5.00)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 (6.50)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 (5.00)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 (5.00)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Subjective sleep quality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(0.00)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(0.50)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</w:t>
            </w:r>
          </w:p>
        </w:tc>
      </w:tr>
      <w:tr w:rsidR="007730B7" w:rsidTr="00226B1D">
        <w:trPr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Sleep latency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(1.50)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Sleep duration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</w:t>
            </w:r>
          </w:p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7730B7" w:rsidTr="00226B1D">
        <w:trPr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Habitual sleep efficiency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Sleep disturbances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 (1.00)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</w:t>
            </w:r>
          </w:p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7730B7" w:rsidTr="00226B1D">
        <w:trPr>
          <w:trHeight w:val="60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Use of sleep medication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(2.00)</w:t>
            </w:r>
          </w:p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</w:tcPr>
          <w:p w:rsidR="007730B7" w:rsidRDefault="007730B7">
            <w:pPr>
              <w:contextualSpacing w:val="0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(0.00)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(2.50)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(1.50)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(2.00)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(0.00)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</w:t>
            </w:r>
          </w:p>
        </w:tc>
      </w:tr>
      <w:tr w:rsidR="007730B7" w:rsidTr="00226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3960" w:type="dxa"/>
          </w:tcPr>
          <w:p w:rsidR="007730B7" w:rsidRDefault="00226B1D">
            <w:pPr>
              <w:contextualSpacing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Daytime dysfunction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Type 2 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 Prediabetes</w:t>
            </w:r>
          </w:p>
          <w:p w:rsidR="007730B7" w:rsidRDefault="00226B1D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Type 2 Diabetes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1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57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63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(0.00)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(1.00)</w:t>
            </w:r>
          </w:p>
        </w:tc>
        <w:tc>
          <w:tcPr>
            <w:tcW w:w="2235" w:type="dxa"/>
          </w:tcPr>
          <w:p w:rsidR="007730B7" w:rsidRDefault="007730B7">
            <w:pPr>
              <w:contextualSpacing w:val="0"/>
              <w:jc w:val="center"/>
              <w:rPr>
                <w:sz w:val="20"/>
                <w:szCs w:val="20"/>
              </w:rPr>
            </w:pP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</w:t>
            </w:r>
          </w:p>
          <w:p w:rsidR="007730B7" w:rsidRDefault="00226B1D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</w:t>
            </w:r>
          </w:p>
        </w:tc>
      </w:tr>
    </w:tbl>
    <w:p w:rsidR="007730B7" w:rsidRDefault="007730B7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7730B7" w:rsidRDefault="007730B7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7730B7" w:rsidRDefault="007730B7">
      <w:pPr>
        <w:contextualSpacing w:val="0"/>
      </w:pPr>
    </w:p>
    <w:sectPr w:rsidR="007730B7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B7"/>
    <w:rsid w:val="00226B1D"/>
    <w:rsid w:val="0077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09615"/>
  <w15:docId w15:val="{E773ACDE-8D95-4DA5-9A7B-94F5021D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PlainTable2">
    <w:name w:val="Plain Table 2"/>
    <w:basedOn w:val="TableNormal"/>
    <w:uiPriority w:val="42"/>
    <w:rsid w:val="00226B1D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openxmlformats.org/officeDocument/2006/relationships/settings" Target="settings.xml"/>
   <Relationship Id="rId3" Type="http://schemas.openxmlformats.org/officeDocument/2006/relationships/webSettings" Target="webSettings.xml"/>
   <Relationship Id="rId4" Type="http://schemas.openxmlformats.org/officeDocument/2006/relationships/fontTable" Target="fontTable.xml"/>
   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