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300"/>
        <w:gridCol w:w="4297"/>
        <w:gridCol w:w="3753"/>
      </w:tblGrid>
      <w:tr w:rsidR="005A40BB" w:rsidRPr="00952B77" w14:paraId="06E954AD" w14:textId="77777777" w:rsidTr="00AE0841">
        <w:trPr>
          <w:trHeight w:val="320"/>
        </w:trPr>
        <w:tc>
          <w:tcPr>
            <w:tcW w:w="9350" w:type="dxa"/>
            <w:gridSpan w:val="3"/>
            <w:noWrap/>
          </w:tcPr>
          <w:p w14:paraId="1CBFD8B5" w14:textId="70F3F3C5" w:rsidR="005A40BB" w:rsidRPr="0004529D" w:rsidRDefault="005A40BB" w:rsidP="0004529D">
            <w:pPr>
              <w:jc w:val="center"/>
              <w:rPr>
                <w:b/>
              </w:rPr>
            </w:pPr>
            <w:r w:rsidRPr="0004529D">
              <w:rPr>
                <w:b/>
              </w:rPr>
              <w:t xml:space="preserve">Supplementary Table </w:t>
            </w:r>
            <w:r w:rsidR="00E60825">
              <w:rPr>
                <w:b/>
              </w:rPr>
              <w:t>2</w:t>
            </w:r>
            <w:r w:rsidR="0004529D" w:rsidRPr="0004529D">
              <w:rPr>
                <w:b/>
              </w:rPr>
              <w:t xml:space="preserve"> – ICF linking rules and examples</w:t>
            </w:r>
            <w:r w:rsidR="00730406">
              <w:rPr>
                <w:b/>
              </w:rPr>
              <w:t xml:space="preserve">, adapted from </w:t>
            </w:r>
            <w:proofErr w:type="spellStart"/>
            <w:r w:rsidR="00730406">
              <w:rPr>
                <w:b/>
              </w:rPr>
              <w:t>Cieza</w:t>
            </w:r>
            <w:proofErr w:type="spellEnd"/>
            <w:r w:rsidR="00730406">
              <w:rPr>
                <w:b/>
              </w:rPr>
              <w:t xml:space="preserve"> et al.</w:t>
            </w:r>
            <w:r w:rsidR="00A8542B">
              <w:rPr>
                <w:b/>
              </w:rPr>
              <w:t>,</w:t>
            </w:r>
            <w:r w:rsidR="00730406">
              <w:rPr>
                <w:b/>
              </w:rPr>
              <w:t xml:space="preserve"> 2002</w:t>
            </w:r>
            <w:r w:rsidR="00A8542B">
              <w:rPr>
                <w:b/>
              </w:rPr>
              <w:t xml:space="preserve"> </w:t>
            </w:r>
            <w:r w:rsidR="00A8542B">
              <w:rPr>
                <w:b/>
              </w:rPr>
              <w:fldChar w:fldCharType="begin"/>
            </w:r>
            <w:r w:rsidR="00A8542B">
              <w:rPr>
                <w:b/>
              </w:rPr>
              <w:instrText xml:space="preserve"> ADDIN ZOTERO_ITEM CSL_CITATION {"citationID":"3pKa6jXv","properties":{"formattedCitation":"[1]","plainCitation":"[1]","noteIndex":0},"citationItems":[{"id":28263,"uris":["http://zotero.org/users/1351849/items/C22RGR4J"],"uri":["http://zotero.org/users/1351849/items/C22RGR4J"],"itemData":{"id":28263,"type":"article-journal","title":"Linking health-status measurements to the international classification of functioning, disability and health","container-title":"Journal of Rehabilitation Medicine","page":"205-210","volume":"34","issue":"5","source":"PubMed","abstract":"With the approval of the International Classification of Functioning, Disability and Health by the World Health Assembly in May 2001, the concurrent use of both health-status measures and the International Classification of Functioning, Disability and Health is expected. It is therefore important to understand the relationship between these two concepts. The objective of this paper is to provide a systematic and standardized approach when linking health-status measures to the International Classification of Functioning, Disability and Health. The specific aims are to develop rules, to test their reliability and to illustrate these rules with examples. Ten linking rules and an example of their use are presented in this paper. The percentage agreement between two health professionals for 8 health-status instruments tested is also presented. A high level of agreement between the health professionals reflects that the linking rules established in this study allow the sound linking of items from health-status measures to the International Classification of Functioning, Disability and Health.","ISSN":"1650-1977","note":"PMID: 12392234","journalAbbreviation":"J Rehabil Med","language":"eng","author":[{"family":"Cieza","given":"Alarcos"},{"family":"Brockow","given":"Thomas"},{"family":"Ewert","given":"Thomas"},{"family":"Amman","given":"Edda"},{"family":"Kollerits","given":"Barbara"},{"family":"Chatterji","given":"Somnath"},{"family":"Ustün","given":"T. Berdihan"},{"family":"Stucki","given":"Gerold"}],"issued":{"date-parts":[["2002",9]]}}}],"schema":"https://github.com/citation-style-language/schema/raw/master/csl-citation.json"} </w:instrText>
            </w:r>
            <w:r w:rsidR="00A8542B">
              <w:rPr>
                <w:b/>
              </w:rPr>
              <w:fldChar w:fldCharType="separate"/>
            </w:r>
            <w:r w:rsidR="00A8542B">
              <w:rPr>
                <w:b/>
                <w:noProof/>
              </w:rPr>
              <w:t>[1]</w:t>
            </w:r>
            <w:r w:rsidR="00A8542B">
              <w:rPr>
                <w:b/>
              </w:rPr>
              <w:fldChar w:fldCharType="end"/>
            </w:r>
          </w:p>
        </w:tc>
      </w:tr>
      <w:tr w:rsidR="005A40BB" w:rsidRPr="00EF122A" w14:paraId="7219775B" w14:textId="77777777" w:rsidTr="005A40BB">
        <w:trPr>
          <w:trHeight w:val="320"/>
        </w:trPr>
        <w:tc>
          <w:tcPr>
            <w:tcW w:w="1300" w:type="dxa"/>
            <w:noWrap/>
            <w:hideMark/>
          </w:tcPr>
          <w:p w14:paraId="406217D0" w14:textId="77777777" w:rsidR="00952B77" w:rsidRPr="00EF122A" w:rsidRDefault="00952B77" w:rsidP="00952B77">
            <w:pPr>
              <w:rPr>
                <w:b/>
              </w:rPr>
            </w:pPr>
            <w:r w:rsidRPr="00EF122A">
              <w:rPr>
                <w:b/>
              </w:rPr>
              <w:t>Rule</w:t>
            </w:r>
          </w:p>
        </w:tc>
        <w:tc>
          <w:tcPr>
            <w:tcW w:w="4297" w:type="dxa"/>
            <w:hideMark/>
          </w:tcPr>
          <w:p w14:paraId="0E384B6D" w14:textId="4A246E75" w:rsidR="00952B77" w:rsidRPr="00EF122A" w:rsidRDefault="00EF122A" w:rsidP="00952B77">
            <w:pPr>
              <w:rPr>
                <w:b/>
              </w:rPr>
            </w:pPr>
            <w:r>
              <w:rPr>
                <w:b/>
              </w:rPr>
              <w:t xml:space="preserve">Original </w:t>
            </w:r>
            <w:r w:rsidR="00952B77" w:rsidRPr="00EF122A">
              <w:rPr>
                <w:b/>
              </w:rPr>
              <w:t>Rule Description</w:t>
            </w:r>
          </w:p>
        </w:tc>
        <w:tc>
          <w:tcPr>
            <w:tcW w:w="3753" w:type="dxa"/>
            <w:hideMark/>
          </w:tcPr>
          <w:p w14:paraId="20B2454E" w14:textId="723FA6C9" w:rsidR="00952B77" w:rsidRPr="00EF122A" w:rsidRDefault="00EF122A" w:rsidP="00952B77">
            <w:pPr>
              <w:rPr>
                <w:b/>
              </w:rPr>
            </w:pPr>
            <w:r>
              <w:rPr>
                <w:b/>
              </w:rPr>
              <w:t xml:space="preserve">Adapted </w:t>
            </w:r>
            <w:r w:rsidR="00952B77" w:rsidRPr="00EF122A">
              <w:rPr>
                <w:b/>
              </w:rPr>
              <w:t>Example</w:t>
            </w:r>
          </w:p>
        </w:tc>
      </w:tr>
      <w:tr w:rsidR="005A40BB" w:rsidRPr="00952B77" w14:paraId="6878F70E" w14:textId="77777777" w:rsidTr="005A40BB">
        <w:trPr>
          <w:trHeight w:val="1600"/>
        </w:trPr>
        <w:tc>
          <w:tcPr>
            <w:tcW w:w="1300" w:type="dxa"/>
            <w:noWrap/>
            <w:hideMark/>
          </w:tcPr>
          <w:p w14:paraId="5604DCD6" w14:textId="77777777" w:rsidR="00952B77" w:rsidRPr="00952B77" w:rsidRDefault="00952B77" w:rsidP="00952B77">
            <w:r w:rsidRPr="00952B77">
              <w:t>1</w:t>
            </w:r>
          </w:p>
        </w:tc>
        <w:tc>
          <w:tcPr>
            <w:tcW w:w="4297" w:type="dxa"/>
            <w:hideMark/>
          </w:tcPr>
          <w:p w14:paraId="1398E479" w14:textId="77777777" w:rsidR="00952B77" w:rsidRPr="00952B77" w:rsidRDefault="00952B77">
            <w:r w:rsidRPr="00952B77">
              <w:t>Before one links health-status measures to the ICF categories, one should have acquired good knowledge of the conceptual and taxonomical fundamentals of the ICF, as well as of the chapters, domains and categories of the detailed classification, including definitions</w:t>
            </w:r>
          </w:p>
        </w:tc>
        <w:tc>
          <w:tcPr>
            <w:tcW w:w="3753" w:type="dxa"/>
            <w:hideMark/>
          </w:tcPr>
          <w:p w14:paraId="6B81AA8E" w14:textId="77777777" w:rsidR="00952B77" w:rsidRPr="00952B77" w:rsidRDefault="00952B77"/>
        </w:tc>
      </w:tr>
      <w:tr w:rsidR="005A40BB" w:rsidRPr="00952B77" w14:paraId="368F9091" w14:textId="77777777" w:rsidTr="005A40BB">
        <w:trPr>
          <w:trHeight w:val="2240"/>
        </w:trPr>
        <w:tc>
          <w:tcPr>
            <w:tcW w:w="1300" w:type="dxa"/>
            <w:noWrap/>
            <w:hideMark/>
          </w:tcPr>
          <w:p w14:paraId="03AABC77" w14:textId="77777777" w:rsidR="00952B77" w:rsidRPr="00952B77" w:rsidRDefault="00952B77" w:rsidP="00952B77">
            <w:r w:rsidRPr="00952B77">
              <w:t>2</w:t>
            </w:r>
          </w:p>
        </w:tc>
        <w:tc>
          <w:tcPr>
            <w:tcW w:w="4297" w:type="dxa"/>
            <w:hideMark/>
          </w:tcPr>
          <w:p w14:paraId="480CD5AE" w14:textId="77777777" w:rsidR="00952B77" w:rsidRPr="00952B77" w:rsidRDefault="00952B77">
            <w:r w:rsidRPr="00952B77">
              <w:t>E</w:t>
            </w:r>
            <w:r>
              <w:t>a</w:t>
            </w:r>
            <w:r w:rsidRPr="00952B77">
              <w:t>ch item of a health-status measure should be linked to the most precise ICF category</w:t>
            </w:r>
          </w:p>
        </w:tc>
        <w:tc>
          <w:tcPr>
            <w:tcW w:w="3753" w:type="dxa"/>
            <w:hideMark/>
          </w:tcPr>
          <w:p w14:paraId="2F6E53BF" w14:textId="3C827129" w:rsidR="00952B77" w:rsidRPr="00952B77" w:rsidRDefault="00952B77" w:rsidP="00952B77">
            <w:r w:rsidRPr="00952B77">
              <w:t xml:space="preserve">Assessments described as evaluating "dementia" were linked to "intellectual functions (b117)". </w:t>
            </w:r>
            <w:r w:rsidR="002C5B93">
              <w:t>The ICF</w:t>
            </w:r>
            <w:r w:rsidRPr="00952B77">
              <w:t xml:space="preserve"> </w:t>
            </w:r>
            <w:r w:rsidR="002C5B93">
              <w:t xml:space="preserve">explicitly </w:t>
            </w:r>
            <w:r w:rsidR="000A1B5D">
              <w:t xml:space="preserve">defines </w:t>
            </w:r>
            <w:r w:rsidRPr="00952B77">
              <w:t xml:space="preserve">dementia </w:t>
            </w:r>
            <w:r w:rsidR="002C5B93">
              <w:t>under</w:t>
            </w:r>
            <w:r w:rsidRPr="00952B77">
              <w:t xml:space="preserve"> general mental function</w:t>
            </w:r>
            <w:r w:rsidR="000A1B5D">
              <w:t xml:space="preserve">s; </w:t>
            </w:r>
            <w:r w:rsidR="001A32D3">
              <w:t>excluding it</w:t>
            </w:r>
            <w:r w:rsidRPr="00952B77">
              <w:t xml:space="preserve"> </w:t>
            </w:r>
            <w:r w:rsidR="000A1B5D">
              <w:t xml:space="preserve">from </w:t>
            </w:r>
            <w:r w:rsidRPr="00952B77">
              <w:t>memory (b144), thought (b160), or higher-level cognitive function</w:t>
            </w:r>
            <w:r w:rsidR="000C15DF">
              <w:t>s</w:t>
            </w:r>
            <w:r w:rsidRPr="00952B77">
              <w:t xml:space="preserve"> (b164)</w:t>
            </w:r>
          </w:p>
        </w:tc>
      </w:tr>
      <w:tr w:rsidR="005A40BB" w:rsidRPr="00952B77" w14:paraId="1FFD9FEE" w14:textId="77777777" w:rsidTr="005A40BB">
        <w:trPr>
          <w:trHeight w:val="1920"/>
        </w:trPr>
        <w:tc>
          <w:tcPr>
            <w:tcW w:w="1300" w:type="dxa"/>
            <w:noWrap/>
            <w:hideMark/>
          </w:tcPr>
          <w:p w14:paraId="3CA9DDC6" w14:textId="77777777" w:rsidR="00952B77" w:rsidRPr="00952B77" w:rsidRDefault="00952B77" w:rsidP="00952B77">
            <w:r w:rsidRPr="00952B77">
              <w:t>3</w:t>
            </w:r>
          </w:p>
        </w:tc>
        <w:tc>
          <w:tcPr>
            <w:tcW w:w="4297" w:type="dxa"/>
            <w:hideMark/>
          </w:tcPr>
          <w:p w14:paraId="5BADB943" w14:textId="77777777" w:rsidR="00952B77" w:rsidRPr="00952B77" w:rsidRDefault="00952B77">
            <w:r w:rsidRPr="00952B77">
              <w:t>If a single item encompasses different constructs, the information in each construct should be linked</w:t>
            </w:r>
          </w:p>
        </w:tc>
        <w:tc>
          <w:tcPr>
            <w:tcW w:w="3753" w:type="dxa"/>
            <w:hideMark/>
          </w:tcPr>
          <w:p w14:paraId="32A9325B" w14:textId="6F684400" w:rsidR="00952B77" w:rsidRPr="00952B77" w:rsidRDefault="00952B77">
            <w:r w:rsidRPr="00952B77">
              <w:t xml:space="preserve">The FIM-cog </w:t>
            </w:r>
            <w:r w:rsidR="00F1054F">
              <w:fldChar w:fldCharType="begin"/>
            </w:r>
            <w:r w:rsidR="00BA54A3">
              <w:instrText xml:space="preserve"> ADDIN ZOTERO_ITEM CSL_CITATION {"citationID":"F7vJg8XZ","properties":{"formattedCitation":"[2]","plainCitation":"[2]","noteIndex":0},"citationItems":[{"id":26590,"uris":["http://zotero.org/users/1351849/items/8PTBZI3Q"],"uri":["http://zotero.org/users/1351849/items/8PTBZI3Q"],"itemData":{"id":26590,"type":"article-journal","title":"The functional independence measure","container-title":"Adv Clin Rehabil","page":"6–18","volume":"1","source":"Google Scholar","author":[{"family":"Keith","given":"R. A."},{"family":"Granger","given":"C. V."},{"family":"Hamilton","given":"B. B."},{"family":"Sherwin","given":"F. S."}],"issued":{"date-parts":[["1987"]]}}}],"schema":"https://github.com/citation-style-language/schema/raw/master/csl-citation.json"} </w:instrText>
            </w:r>
            <w:r w:rsidR="00F1054F">
              <w:fldChar w:fldCharType="separate"/>
            </w:r>
            <w:r w:rsidR="00BA54A3">
              <w:rPr>
                <w:noProof/>
              </w:rPr>
              <w:t>[2]</w:t>
            </w:r>
            <w:r w:rsidR="00F1054F">
              <w:fldChar w:fldCharType="end"/>
            </w:r>
            <w:r w:rsidR="00BA54A3">
              <w:t xml:space="preserve"> </w:t>
            </w:r>
            <w:r w:rsidRPr="00952B77">
              <w:t xml:space="preserve">encompasses </w:t>
            </w:r>
            <w:r w:rsidR="00645F77">
              <w:t xml:space="preserve">constructs related to </w:t>
            </w:r>
            <w:r w:rsidR="00616E28">
              <w:t xml:space="preserve">mental functions </w:t>
            </w:r>
            <w:r w:rsidRPr="00952B77">
              <w:t>(e.g. expression and memory)</w:t>
            </w:r>
            <w:r w:rsidR="0083449F">
              <w:t>;</w:t>
            </w:r>
            <w:r w:rsidRPr="00952B77">
              <w:t xml:space="preserve"> </w:t>
            </w:r>
            <w:r w:rsidR="0083449F">
              <w:t>and</w:t>
            </w:r>
            <w:r w:rsidRPr="00952B77">
              <w:t xml:space="preserve"> contextual constructs (e.g. assisted expression using a communication device). Therefore,</w:t>
            </w:r>
            <w:r w:rsidR="005B07BE">
              <w:t xml:space="preserve"> both the</w:t>
            </w:r>
            <w:r w:rsidRPr="00952B77">
              <w:t xml:space="preserve"> </w:t>
            </w:r>
            <w:r w:rsidR="005B07BE">
              <w:rPr>
                <w:i/>
              </w:rPr>
              <w:t>mental function</w:t>
            </w:r>
            <w:r w:rsidRPr="009C2B11">
              <w:rPr>
                <w:i/>
              </w:rPr>
              <w:t xml:space="preserve"> </w:t>
            </w:r>
            <w:r w:rsidR="00CA5B64">
              <w:rPr>
                <w:i/>
              </w:rPr>
              <w:t>constructs</w:t>
            </w:r>
            <w:r w:rsidR="005B07BE">
              <w:rPr>
                <w:i/>
              </w:rPr>
              <w:t xml:space="preserve"> </w:t>
            </w:r>
            <w:r w:rsidR="00C23950">
              <w:t>(</w:t>
            </w:r>
            <w:r w:rsidR="009C2B11">
              <w:t xml:space="preserve">ICF </w:t>
            </w:r>
            <w:r w:rsidR="00C23950">
              <w:t xml:space="preserve">Mental Functions, ICF chapter 1) </w:t>
            </w:r>
            <w:r w:rsidR="005B07BE">
              <w:t xml:space="preserve">as well as the </w:t>
            </w:r>
            <w:r w:rsidRPr="009C2B11">
              <w:rPr>
                <w:i/>
              </w:rPr>
              <w:t>contextual constructs</w:t>
            </w:r>
            <w:r w:rsidR="0083449F">
              <w:rPr>
                <w:i/>
              </w:rPr>
              <w:t xml:space="preserve"> </w:t>
            </w:r>
            <w:r w:rsidR="00C23950">
              <w:t>(</w:t>
            </w:r>
            <w:r w:rsidR="00F062D7">
              <w:t xml:space="preserve">Environmental Factors, </w:t>
            </w:r>
            <w:r w:rsidR="00C23950">
              <w:t>chapter</w:t>
            </w:r>
            <w:r w:rsidR="00F062D7">
              <w:t>2</w:t>
            </w:r>
            <w:r w:rsidR="00C23950">
              <w:t xml:space="preserve">) </w:t>
            </w:r>
            <w:r w:rsidR="00CA5B64">
              <w:t>from this assessment should be linked</w:t>
            </w:r>
          </w:p>
        </w:tc>
      </w:tr>
      <w:tr w:rsidR="005A40BB" w:rsidRPr="00952B77" w14:paraId="43E1DD28" w14:textId="77777777" w:rsidTr="005A40BB">
        <w:trPr>
          <w:trHeight w:val="960"/>
        </w:trPr>
        <w:tc>
          <w:tcPr>
            <w:tcW w:w="1300" w:type="dxa"/>
            <w:noWrap/>
            <w:hideMark/>
          </w:tcPr>
          <w:p w14:paraId="5FED4341" w14:textId="77777777" w:rsidR="00952B77" w:rsidRPr="00952B77" w:rsidRDefault="00952B77" w:rsidP="00952B77">
            <w:r w:rsidRPr="00952B77">
              <w:t>4</w:t>
            </w:r>
          </w:p>
        </w:tc>
        <w:tc>
          <w:tcPr>
            <w:tcW w:w="4297" w:type="dxa"/>
            <w:hideMark/>
          </w:tcPr>
          <w:p w14:paraId="2C39EDA1" w14:textId="0DC39ED8" w:rsidR="00952B77" w:rsidRPr="00952B77" w:rsidRDefault="00952B77" w:rsidP="00952B77">
            <w:r w:rsidRPr="00952B77">
              <w:t>All constructs of the item to be linked have to be highlighted (e.g. italicized</w:t>
            </w:r>
            <w:r>
              <w:t>, bold, or underlined.</w:t>
            </w:r>
          </w:p>
        </w:tc>
        <w:tc>
          <w:tcPr>
            <w:tcW w:w="3753" w:type="dxa"/>
            <w:hideMark/>
          </w:tcPr>
          <w:p w14:paraId="4A94EB15" w14:textId="24427E22" w:rsidR="00E11350" w:rsidRDefault="00E11350">
            <w:r>
              <w:t>In our case we have</w:t>
            </w:r>
            <w:r w:rsidRPr="00952B77">
              <w:t xml:space="preserve"> </w:t>
            </w:r>
            <w:r>
              <w:t xml:space="preserve">italicized the mental function and </w:t>
            </w:r>
            <w:r w:rsidRPr="00952B77">
              <w:t>explicitly mentioned</w:t>
            </w:r>
            <w:r>
              <w:t xml:space="preserve"> its code </w:t>
            </w:r>
            <w:r w:rsidRPr="00952B77">
              <w:t>in parenthesis)</w:t>
            </w:r>
            <w:r>
              <w:t>.</w:t>
            </w:r>
          </w:p>
          <w:p w14:paraId="455E0B3C" w14:textId="24B18DAD" w:rsidR="00952B77" w:rsidRPr="00952B77" w:rsidRDefault="00952B77">
            <w:r w:rsidRPr="00952B77">
              <w:t>Item 3 of the Montreal Cognitive Assessment (</w:t>
            </w:r>
            <w:proofErr w:type="spellStart"/>
            <w:r w:rsidRPr="00952B77">
              <w:t>MoCA</w:t>
            </w:r>
            <w:proofErr w:type="spellEnd"/>
            <w:r w:rsidRPr="00952B77">
              <w:t xml:space="preserve">) </w:t>
            </w:r>
            <w:r w:rsidR="00BA54A3">
              <w:fldChar w:fldCharType="begin"/>
            </w:r>
            <w:r w:rsidR="00BA54A3">
              <w:instrText xml:space="preserve"> ADDIN ZOTERO_ITEM CSL_CITATION {"citationID":"GUeJDyU0","properties":{"formattedCitation":"[3]","plainCitation":"[3]","noteIndex":0},"citationItems":[{"id":5726,"uris":["http://zotero.org/users/1351849/items/C3Q43QSM"],"uri":["http://zotero.org/users/1351849/items/C3Q43QSM"],"itemData":{"id":5726,"type":"article-journal","title":"The Montreal Cognitive Assessment, MoCA: a brief screening tool for mild cognitive impairment","container-title":"Journal of the American Geriatrics Society","page":"695–699","volume":"53","issue":"4","source":"Google Scholar","title-short":"The Montreal Cognitive Assessment, MoCA","author":[{"family":"Nasreddine","given":"Ziad S."},{"family":"Phillips","given":"Natalie A."},{"family":"Bédirian","given":"Valérie"},{"family":"Charbonneau","given":"Simon"},{"family":"Whitehead","given":"Victor"},{"family":"Collin","given":"Isabelle"},{"family":"Cummings","given":"Jeffrey L."},{"family":"Chertkow","given":"Howard"}],"issued":{"date-parts":[["2005"]]}}}],"schema":"https://github.com/citation-style-language/schema/raw/master/csl-citation.json"} </w:instrText>
            </w:r>
            <w:r w:rsidR="00BA54A3">
              <w:fldChar w:fldCharType="separate"/>
            </w:r>
            <w:r w:rsidR="00BA54A3">
              <w:rPr>
                <w:noProof/>
              </w:rPr>
              <w:t>[3]</w:t>
            </w:r>
            <w:r w:rsidR="00BA54A3">
              <w:fldChar w:fldCharType="end"/>
            </w:r>
            <w:r w:rsidR="00BA54A3">
              <w:t xml:space="preserve"> </w:t>
            </w:r>
            <w:r w:rsidRPr="00952B77">
              <w:t xml:space="preserve">refers to </w:t>
            </w:r>
            <w:r w:rsidRPr="00952B77">
              <w:rPr>
                <w:i/>
                <w:iCs/>
              </w:rPr>
              <w:t>Memory (b144)</w:t>
            </w:r>
          </w:p>
        </w:tc>
      </w:tr>
      <w:tr w:rsidR="005A40BB" w:rsidRPr="00952B77" w14:paraId="17994FE1" w14:textId="77777777" w:rsidTr="005A40BB">
        <w:trPr>
          <w:trHeight w:val="1920"/>
        </w:trPr>
        <w:tc>
          <w:tcPr>
            <w:tcW w:w="1300" w:type="dxa"/>
            <w:noWrap/>
            <w:hideMark/>
          </w:tcPr>
          <w:p w14:paraId="4AEE11A3" w14:textId="77777777" w:rsidR="00952B77" w:rsidRPr="00952B77" w:rsidRDefault="00952B77" w:rsidP="00952B77">
            <w:r w:rsidRPr="00952B77">
              <w:t>5</w:t>
            </w:r>
          </w:p>
        </w:tc>
        <w:tc>
          <w:tcPr>
            <w:tcW w:w="4297" w:type="dxa"/>
            <w:hideMark/>
          </w:tcPr>
          <w:p w14:paraId="2A276658" w14:textId="77777777" w:rsidR="00952B77" w:rsidRPr="00952B77" w:rsidRDefault="00952B77">
            <w:r w:rsidRPr="00952B77">
              <w:t>The response options of an item are linked if they refer to additional constructs</w:t>
            </w:r>
          </w:p>
        </w:tc>
        <w:tc>
          <w:tcPr>
            <w:tcW w:w="3753" w:type="dxa"/>
            <w:hideMark/>
          </w:tcPr>
          <w:p w14:paraId="26DCF322" w14:textId="50FB4B3B" w:rsidR="00D541C2" w:rsidRDefault="00952B77">
            <w:r w:rsidRPr="00952B77">
              <w:t>Item 2 of the Stroke Impact Scale</w:t>
            </w:r>
            <w:r w:rsidR="00FD6198">
              <w:t xml:space="preserve"> </w:t>
            </w:r>
            <w:r w:rsidR="00BA54A3">
              <w:t xml:space="preserve">(SIS) </w:t>
            </w:r>
            <w:r w:rsidR="00BA54A3">
              <w:fldChar w:fldCharType="begin"/>
            </w:r>
            <w:r w:rsidR="00D74CD6">
              <w:instrText xml:space="preserve"> ADDIN ZOTERO_ITEM CSL_CITATION {"citationID":"BlwSY5tN","properties":{"formattedCitation":"[4]","plainCitation":"[4]","noteIndex":0},"citationItems":[{"id":4562,"uris":["http://zotero.org/users/1351849/items/HTWW863F"],"uri":["http://zotero.org/users/1351849/items/HTWW863F"],"itemData":{"id":4562,"type":"article-journal","title":"Performance of a mail-administered version of a stroke-specific outcome measure, the Stroke Impact Scale","container-title":"Clinical Rehabilitation","page":"493-505","volume":"16","abstract":"Objective: To evaluate the feasibility and concurrent validity of a new, mail-administered, stroke-specific outcome measure, the Stroke Impact Scale (SIS). Design: Observational cohort study. Setting and patients: Stroke patients who had lived independently in the community prior to their stroke and who were candidates for post-stroke rehabilitation were recruited from nine, high-volume, Department of Veteran Affairs Medical Centers. Methods: Two hundred and six patients were mailed the SIS after a six-month post-stroke telephone interview. Telephone assessments included the Functional Independence Measure, the Lawton IADL and the SF-36. Results: The response rate for the mailed SIS was 63%, with 45% of the responses from proxies. The average rate of missing item level scores per patient was 1.3 (range 0-20) resulting in an average rate of 0.13 missing domain scores per patient (range 0-3). Nonresponders to the mailed SIS had more severe strokes with lower functional status at the time of the survey than responders. Proxies were more likely to complete the survey if the subjects were older, married, cognitively impaired and more functionally limited. The SIS did not exhibit a high rate of floor and ceiling effects, particularly in physical function domains, as did the FIM and the SF-36. Conclusions: The mailed SIS is a feasible means of assessing post-stroke function. Missing items and missing domain scores were extremely low, however, there is a trade-off between the low-cost mail SIS survey on the one hand and the resulting nonresponse bias on the other.","DOI":"10.1191/0269215502cr510oa","ISSN":"0269-2155","author":[{"family":"Duncan","given":"P. W."},{"family":"Reker","given":"D. M."},{"family":"Horner","given":"R. D."},{"family":"Samsa","given":"G. P."},{"family":"Hoenig","given":"H."},{"family":"LaClair","given":"B. J."},{"family":"Dudley","given":"T. K."}],"issued":{"date-parts":[["2002",8]]}}}],"schema":"https://github.com/citation-style-language/schema/raw/master/csl-citation.json"} </w:instrText>
            </w:r>
            <w:r w:rsidR="00BA54A3">
              <w:fldChar w:fldCharType="separate"/>
            </w:r>
            <w:r w:rsidR="00D74CD6">
              <w:rPr>
                <w:noProof/>
              </w:rPr>
              <w:t>[4]</w:t>
            </w:r>
            <w:r w:rsidR="00BA54A3">
              <w:fldChar w:fldCharType="end"/>
            </w:r>
            <w:r w:rsidR="00BA54A3">
              <w:t xml:space="preserve"> </w:t>
            </w:r>
            <w:r w:rsidR="00FD6198">
              <w:t xml:space="preserve">addresses </w:t>
            </w:r>
            <w:r w:rsidR="00FD6198" w:rsidRPr="00FD6198">
              <w:rPr>
                <w:i/>
              </w:rPr>
              <w:t>memory</w:t>
            </w:r>
            <w:r w:rsidR="00F204B3">
              <w:t xml:space="preserve"> and </w:t>
            </w:r>
            <w:r w:rsidR="00F204B3" w:rsidRPr="00F204B3">
              <w:rPr>
                <w:i/>
              </w:rPr>
              <w:t>thinking</w:t>
            </w:r>
            <w:r w:rsidR="00F204B3">
              <w:rPr>
                <w:i/>
              </w:rPr>
              <w:t xml:space="preserve">. </w:t>
            </w:r>
            <w:r w:rsidR="00F204B3">
              <w:t xml:space="preserve"> </w:t>
            </w:r>
            <w:r w:rsidR="00D541C2">
              <w:t>However, the response options under this item also address</w:t>
            </w:r>
            <w:r w:rsidR="002269AB">
              <w:t xml:space="preserve"> </w:t>
            </w:r>
            <w:r w:rsidR="002720A2">
              <w:t>other mental functions. For instance</w:t>
            </w:r>
            <w:r w:rsidRPr="00952B77">
              <w:t>:</w:t>
            </w:r>
          </w:p>
          <w:p w14:paraId="343E9998" w14:textId="77777777" w:rsidR="00B5618D" w:rsidRDefault="002720A2">
            <w:pPr>
              <w:rPr>
                <w:i/>
              </w:rPr>
            </w:pPr>
            <w:r>
              <w:lastRenderedPageBreak/>
              <w:t xml:space="preserve">Sub-item </w:t>
            </w:r>
            <w:r w:rsidR="00952B77" w:rsidRPr="00952B77">
              <w:t xml:space="preserve">a) </w:t>
            </w:r>
            <w:r w:rsidR="00B5618D">
              <w:t>“</w:t>
            </w:r>
            <w:r w:rsidR="00952B77" w:rsidRPr="00952B77">
              <w:rPr>
                <w:i/>
                <w:iCs/>
              </w:rPr>
              <w:t>Remember</w:t>
            </w:r>
            <w:r w:rsidR="00952B77">
              <w:t xml:space="preserve"> things that people just </w:t>
            </w:r>
            <w:r w:rsidR="00952B77" w:rsidRPr="00952B77">
              <w:t>told you?</w:t>
            </w:r>
            <w:r w:rsidR="00B5618D">
              <w:t>”</w:t>
            </w:r>
            <w:r w:rsidR="00952B77" w:rsidRPr="00952B77">
              <w:t xml:space="preserve"> </w:t>
            </w:r>
            <w:r w:rsidR="00BE00FE">
              <w:sym w:font="Wingdings" w:char="F0E0"/>
            </w:r>
            <w:r w:rsidR="00BE00FE">
              <w:t xml:space="preserve"> </w:t>
            </w:r>
            <w:r w:rsidR="00BE00FE" w:rsidRPr="002720A2">
              <w:rPr>
                <w:i/>
              </w:rPr>
              <w:t>remember</w:t>
            </w:r>
            <w:r w:rsidR="00BE00FE">
              <w:t xml:space="preserve"> is linked with </w:t>
            </w:r>
            <w:r w:rsidR="00BE00FE" w:rsidRPr="00655018">
              <w:rPr>
                <w:i/>
              </w:rPr>
              <w:t>memory (b</w:t>
            </w:r>
            <w:r w:rsidR="00655018" w:rsidRPr="00655018">
              <w:rPr>
                <w:i/>
              </w:rPr>
              <w:t>144</w:t>
            </w:r>
            <w:r w:rsidR="00BE00FE" w:rsidRPr="00655018">
              <w:rPr>
                <w:i/>
              </w:rPr>
              <w:t>)</w:t>
            </w:r>
          </w:p>
          <w:p w14:paraId="1BC189AD" w14:textId="77777777" w:rsidR="00B5618D" w:rsidRDefault="00952B77">
            <w:pPr>
              <w:rPr>
                <w:i/>
              </w:rPr>
            </w:pPr>
            <w:r w:rsidRPr="00952B77">
              <w:br/>
              <w:t xml:space="preserve">e) </w:t>
            </w:r>
            <w:r w:rsidR="00B5618D">
              <w:t>“</w:t>
            </w:r>
            <w:r w:rsidRPr="00952B77">
              <w:rPr>
                <w:i/>
                <w:iCs/>
              </w:rPr>
              <w:t>Concentrate?</w:t>
            </w:r>
            <w:r w:rsidR="00B5618D">
              <w:rPr>
                <w:i/>
                <w:iCs/>
              </w:rPr>
              <w:t>”</w:t>
            </w:r>
            <w:r w:rsidRPr="00952B77">
              <w:t xml:space="preserve"> </w:t>
            </w:r>
            <w:r w:rsidR="00655018">
              <w:sym w:font="Wingdings" w:char="F0E0"/>
            </w:r>
            <w:r w:rsidR="00655018">
              <w:t xml:space="preserve"> </w:t>
            </w:r>
            <w:r w:rsidR="00B5618D" w:rsidRPr="00B5618D">
              <w:rPr>
                <w:i/>
              </w:rPr>
              <w:t>concentrate</w:t>
            </w:r>
            <w:r w:rsidR="00B5618D">
              <w:t xml:space="preserve"> is </w:t>
            </w:r>
            <w:r w:rsidR="00655018">
              <w:t xml:space="preserve">linked with </w:t>
            </w:r>
            <w:r w:rsidR="00AB2CA4" w:rsidRPr="00AB2CA4">
              <w:rPr>
                <w:i/>
              </w:rPr>
              <w:t>attention (b140)</w:t>
            </w:r>
          </w:p>
          <w:p w14:paraId="448E066D" w14:textId="2982D8BD" w:rsidR="00952B77" w:rsidRPr="00952B77" w:rsidRDefault="00952B77">
            <w:r w:rsidRPr="00952B77">
              <w:br/>
              <w:t xml:space="preserve">f) </w:t>
            </w:r>
            <w:r w:rsidRPr="00952B77">
              <w:rPr>
                <w:i/>
                <w:iCs/>
              </w:rPr>
              <w:t>Think quickly?</w:t>
            </w:r>
            <w:r w:rsidR="00AB2CA4">
              <w:rPr>
                <w:i/>
                <w:iCs/>
              </w:rPr>
              <w:t xml:space="preserve"> </w:t>
            </w:r>
            <w:r w:rsidR="00AB2CA4" w:rsidRPr="00AB2CA4">
              <w:rPr>
                <w:i/>
                <w:iCs/>
              </w:rPr>
              <w:sym w:font="Wingdings" w:char="F0E0"/>
            </w:r>
            <w:r w:rsidR="00AB2CA4">
              <w:rPr>
                <w:i/>
                <w:iCs/>
              </w:rPr>
              <w:t xml:space="preserve"> </w:t>
            </w:r>
            <w:r w:rsidR="00AB2CA4" w:rsidRPr="00AB2CA4">
              <w:rPr>
                <w:iCs/>
              </w:rPr>
              <w:t>linked with</w:t>
            </w:r>
            <w:r w:rsidR="00AB2CA4">
              <w:rPr>
                <w:i/>
                <w:iCs/>
              </w:rPr>
              <w:t xml:space="preserve"> Higher-level cognition (b164)</w:t>
            </w:r>
          </w:p>
        </w:tc>
      </w:tr>
      <w:tr w:rsidR="005A40BB" w:rsidRPr="00952B77" w14:paraId="4F696159" w14:textId="77777777" w:rsidTr="005A40BB">
        <w:trPr>
          <w:trHeight w:val="665"/>
        </w:trPr>
        <w:tc>
          <w:tcPr>
            <w:tcW w:w="1300" w:type="dxa"/>
            <w:noWrap/>
            <w:hideMark/>
          </w:tcPr>
          <w:p w14:paraId="6F9A1AC4" w14:textId="77777777" w:rsidR="00952B77" w:rsidRPr="00952B77" w:rsidRDefault="00952B77" w:rsidP="00952B77">
            <w:r w:rsidRPr="00952B77">
              <w:lastRenderedPageBreak/>
              <w:t>6</w:t>
            </w:r>
          </w:p>
        </w:tc>
        <w:tc>
          <w:tcPr>
            <w:tcW w:w="4297" w:type="dxa"/>
            <w:hideMark/>
          </w:tcPr>
          <w:p w14:paraId="0601BB9B" w14:textId="77777777" w:rsidR="00952B77" w:rsidRPr="00952B77" w:rsidRDefault="00952B77">
            <w:r w:rsidRPr="00952B77">
              <w:t>If the content of an item is not explicitly named in the corresponding ICF category, then the “other specified” option at the third and fourth coding level of the ICF classification is linked. The additional information not covered by the ICF classification is documented.</w:t>
            </w:r>
          </w:p>
        </w:tc>
        <w:tc>
          <w:tcPr>
            <w:tcW w:w="3753" w:type="dxa"/>
            <w:hideMark/>
          </w:tcPr>
          <w:p w14:paraId="0B86DA17" w14:textId="7990B63B" w:rsidR="00952B77" w:rsidRPr="00952B77" w:rsidRDefault="00952B77" w:rsidP="00952B77">
            <w:r w:rsidRPr="00952B77">
              <w:t xml:space="preserve">The </w:t>
            </w:r>
            <w:r w:rsidRPr="00952B77">
              <w:rPr>
                <w:i/>
                <w:iCs/>
              </w:rPr>
              <w:t>initiation</w:t>
            </w:r>
            <w:r w:rsidRPr="00952B77">
              <w:t xml:space="preserve"> item of the Executive Function Performance Test </w:t>
            </w:r>
            <w:r w:rsidR="00D74CD6">
              <w:t xml:space="preserve">(EFPT) </w:t>
            </w:r>
            <w:r w:rsidR="00D74CD6">
              <w:fldChar w:fldCharType="begin"/>
            </w:r>
            <w:r w:rsidR="008D4EBF">
              <w:instrText xml:space="preserve"> ADDIN ZOTERO_ITEM CSL_CITATION {"citationID":"g2e6cWWa","properties":{"formattedCitation":"[5]","plainCitation":"[5]","noteIndex":0},"citationItems":[{"id":3869,"uris":["http://zotero.org/users/1351849/items/IKU63FMA"],"uri":["http://zotero.org/users/1351849/items/IKU63FMA"],"itemData":{"id":3869,"type":"article-journal","title":"Reliability, validity, and clinical utility of the Executive Function Performance Test: a measure of executive function in a sample of people with stroke","container-title":"The American journal of occupational therapy: official publication of the American Occupational Therapy Association","page":"446-455","volume":"62","issue":"4","source":"NCBI PubMed","abstract":"This study examined the reliability and validity of the Executive Function Performance Test (EFPT). The EFPT assesses executive function deficits in the performance of real-world tasks. It uses a structured cueing and scoring system to assess higher-level cognitive functions, specifically initiation, organization, sequencing safety and judgment, and task completion. Seventy-three participants with mild to moderate stroke and 22 age- and education-matched controls completed the 4 EFPT tasks (cooking, using the telephone, managing medications, and paying bills). Significant differences were found between participants with mild and moderate stroke and healthy control participants. The EFPT can help occupational therapists determine the level of support needed by people with cognitive impairments to perform complex instrumental tasks. Objective information derived from this assessment is an essential part of the process of determining whether the person can live independently and helping families understand how to support the performance of their family members at home.","ISSN":"0272-9490","note":"PMID: 18712007","title-short":"Reliability, validity, and clinical utility of the Executive Function Performance Test","journalAbbreviation":"Am J Occup Ther","author":[{"family":"Baum","given":"Carolyn M"},{"family":"Connor","given":"Lisa Tabor"},{"family":"Morrison","given":"Tracy"},{"family":"Hahn","given":"Michelle"},{"family":"Dromerick","given":"Alexander W"},{"family":"Edwards","given":"Dorothy F"}],"issued":{"date-parts":[["2008",8]]}}}],"schema":"https://github.com/citation-style-language/schema/raw/master/csl-citation.json"} </w:instrText>
            </w:r>
            <w:r w:rsidR="00D74CD6">
              <w:fldChar w:fldCharType="separate"/>
            </w:r>
            <w:r w:rsidR="008D4EBF">
              <w:rPr>
                <w:noProof/>
              </w:rPr>
              <w:t>[5]</w:t>
            </w:r>
            <w:r w:rsidR="00D74CD6">
              <w:fldChar w:fldCharType="end"/>
            </w:r>
            <w:r w:rsidR="00D74CD6">
              <w:t xml:space="preserve"> </w:t>
            </w:r>
            <w:r w:rsidRPr="00952B77">
              <w:t>is not defined in the ICF mental functions at the third (b164), or fourth coding level (b1640-b1646). Therefore</w:t>
            </w:r>
            <w:r>
              <w:t xml:space="preserve">, because this evaluation is specific to higher-level </w:t>
            </w:r>
            <w:r w:rsidR="00B741FB">
              <w:t>cognition</w:t>
            </w:r>
            <w:r>
              <w:t xml:space="preserve">, </w:t>
            </w:r>
            <w:r w:rsidRPr="00952B77">
              <w:t>th</w:t>
            </w:r>
            <w:r>
              <w:t>e function was</w:t>
            </w:r>
            <w:r w:rsidRPr="00952B77">
              <w:t xml:space="preserve"> linked to Higher-level cognitive function, other specified (b1647)</w:t>
            </w:r>
          </w:p>
        </w:tc>
      </w:tr>
      <w:tr w:rsidR="005A40BB" w:rsidRPr="00952B77" w14:paraId="7E968E74" w14:textId="77777777" w:rsidTr="005A40BB">
        <w:trPr>
          <w:trHeight w:val="2240"/>
        </w:trPr>
        <w:tc>
          <w:tcPr>
            <w:tcW w:w="1300" w:type="dxa"/>
            <w:noWrap/>
            <w:hideMark/>
          </w:tcPr>
          <w:p w14:paraId="18C867A1" w14:textId="77777777" w:rsidR="00952B77" w:rsidRPr="00952B77" w:rsidRDefault="00952B77" w:rsidP="00952B77">
            <w:r w:rsidRPr="00952B77">
              <w:t>7</w:t>
            </w:r>
          </w:p>
        </w:tc>
        <w:tc>
          <w:tcPr>
            <w:tcW w:w="4297" w:type="dxa"/>
            <w:hideMark/>
          </w:tcPr>
          <w:p w14:paraId="5B3C4C3A" w14:textId="77777777" w:rsidR="00952B77" w:rsidRPr="00952B77" w:rsidRDefault="00952B77">
            <w:r w:rsidRPr="00952B77">
              <w:t>If the content of an item is more general than the corresponding ICF category, then the code of the higher</w:t>
            </w:r>
            <w:r w:rsidRPr="00952B77">
              <w:br/>
              <w:t>level is linked</w:t>
            </w:r>
          </w:p>
        </w:tc>
        <w:tc>
          <w:tcPr>
            <w:tcW w:w="3753" w:type="dxa"/>
            <w:hideMark/>
          </w:tcPr>
          <w:p w14:paraId="33452483" w14:textId="537C7A78" w:rsidR="00952B77" w:rsidRPr="00952B77" w:rsidRDefault="00952B77">
            <w:r w:rsidRPr="00952B77">
              <w:t xml:space="preserve">The </w:t>
            </w:r>
            <w:proofErr w:type="spellStart"/>
            <w:r w:rsidRPr="00952B77">
              <w:t>MoCA</w:t>
            </w:r>
            <w:proofErr w:type="spellEnd"/>
            <w:r w:rsidRPr="00952B77">
              <w:t xml:space="preserve">, overall score, encompasses </w:t>
            </w:r>
            <w:r w:rsidRPr="00E114B5">
              <w:rPr>
                <w:i/>
              </w:rPr>
              <w:t>global mental functions</w:t>
            </w:r>
            <w:r w:rsidRPr="00952B77">
              <w:t xml:space="preserve"> (orientation), as well as </w:t>
            </w:r>
            <w:r w:rsidRPr="00E114B5">
              <w:rPr>
                <w:i/>
              </w:rPr>
              <w:t>specific mental functions</w:t>
            </w:r>
            <w:r w:rsidRPr="00952B77">
              <w:t xml:space="preserve"> (attention, memory, psychomotor, perceptual, higher-level cognition, and language). Therefore</w:t>
            </w:r>
            <w:r w:rsidR="00E114B5">
              <w:t>, because</w:t>
            </w:r>
            <w:r w:rsidRPr="00952B77">
              <w:t xml:space="preserve"> both </w:t>
            </w:r>
            <w:r w:rsidRPr="00B042B3">
              <w:rPr>
                <w:i/>
              </w:rPr>
              <w:t xml:space="preserve">general </w:t>
            </w:r>
            <w:r w:rsidRPr="00952B77">
              <w:t xml:space="preserve">and </w:t>
            </w:r>
            <w:r w:rsidRPr="00B042B3">
              <w:rPr>
                <w:i/>
              </w:rPr>
              <w:t>specific mental functions</w:t>
            </w:r>
            <w:r w:rsidRPr="00952B77">
              <w:t xml:space="preserve"> are linked</w:t>
            </w:r>
            <w:r w:rsidR="00827C3B">
              <w:t xml:space="preserve">, the level above is all mental functions (Mental Functions b110 through </w:t>
            </w:r>
            <w:r w:rsidRPr="00952B77">
              <w:t>b189; or ICF-chapter 1)</w:t>
            </w:r>
          </w:p>
        </w:tc>
      </w:tr>
      <w:tr w:rsidR="005A40BB" w:rsidRPr="00952B77" w14:paraId="19D3038B" w14:textId="77777777" w:rsidTr="005A40BB">
        <w:trPr>
          <w:trHeight w:val="2560"/>
        </w:trPr>
        <w:tc>
          <w:tcPr>
            <w:tcW w:w="1300" w:type="dxa"/>
            <w:noWrap/>
            <w:hideMark/>
          </w:tcPr>
          <w:p w14:paraId="70E3E250" w14:textId="77777777" w:rsidR="00952B77" w:rsidRPr="00952B77" w:rsidRDefault="00952B77" w:rsidP="00952B77">
            <w:r w:rsidRPr="00952B77">
              <w:t>8</w:t>
            </w:r>
          </w:p>
        </w:tc>
        <w:tc>
          <w:tcPr>
            <w:tcW w:w="4297" w:type="dxa"/>
            <w:hideMark/>
          </w:tcPr>
          <w:p w14:paraId="716DFFBC" w14:textId="77777777" w:rsidR="00952B77" w:rsidRPr="00952B77" w:rsidRDefault="00952B77">
            <w:r w:rsidRPr="00952B77">
              <w:t>If the content of an item is more general than any ICF category but otherwise the item specifies by examples partial aspects of the concept contained in one or more ICF categories, then the “unspecified” option of the ICF classification is linked (Code 99 for the second coding level, Code 9 for third and fourth coding levels)</w:t>
            </w:r>
          </w:p>
        </w:tc>
        <w:tc>
          <w:tcPr>
            <w:tcW w:w="3753" w:type="dxa"/>
            <w:hideMark/>
          </w:tcPr>
          <w:p w14:paraId="23F8C60F" w14:textId="3FABEEBE" w:rsidR="00952B77" w:rsidRPr="00952B77" w:rsidRDefault="00952B77" w:rsidP="00952B77">
            <w:r w:rsidRPr="00952B77">
              <w:t>In the</w:t>
            </w:r>
            <w:r>
              <w:t xml:space="preserve"> Stroke Impact Scale (</w:t>
            </w:r>
            <w:r w:rsidRPr="00952B77">
              <w:t>SIS</w:t>
            </w:r>
            <w:r>
              <w:t>)</w:t>
            </w:r>
            <w:r w:rsidRPr="00952B77">
              <w:t xml:space="preserve">, under memory and thinking, item c-In </w:t>
            </w:r>
            <w:bookmarkStart w:id="0" w:name="_GoBack"/>
            <w:bookmarkEnd w:id="0"/>
            <w:r w:rsidRPr="00952B77">
              <w:t>the past week, how difficult was it for you to r</w:t>
            </w:r>
            <w:r w:rsidRPr="00952B77">
              <w:rPr>
                <w:i/>
                <w:iCs/>
              </w:rPr>
              <w:t>emember</w:t>
            </w:r>
            <w:r w:rsidRPr="00952B77">
              <w:t xml:space="preserve"> to do things (e.g. </w:t>
            </w:r>
            <w:r w:rsidRPr="00952B77">
              <w:rPr>
                <w:i/>
                <w:iCs/>
              </w:rPr>
              <w:t>keep</w:t>
            </w:r>
            <w:r w:rsidR="009D69DE">
              <w:rPr>
                <w:i/>
                <w:iCs/>
              </w:rPr>
              <w:t xml:space="preserve"> </w:t>
            </w:r>
            <w:r w:rsidRPr="00952B77">
              <w:rPr>
                <w:i/>
                <w:iCs/>
              </w:rPr>
              <w:t>scheduled appointments</w:t>
            </w:r>
            <w:r w:rsidRPr="00952B77">
              <w:t xml:space="preserve"> or </w:t>
            </w:r>
            <w:r w:rsidRPr="00952B77">
              <w:rPr>
                <w:i/>
                <w:iCs/>
              </w:rPr>
              <w:t>take</w:t>
            </w:r>
            <w:r w:rsidR="009D69DE">
              <w:rPr>
                <w:i/>
                <w:iCs/>
              </w:rPr>
              <w:t xml:space="preserve"> </w:t>
            </w:r>
            <w:r w:rsidRPr="00952B77">
              <w:rPr>
                <w:i/>
                <w:iCs/>
              </w:rPr>
              <w:t>medication</w:t>
            </w:r>
            <w:r w:rsidRPr="00952B77">
              <w:t xml:space="preserve">)? Is linked to </w:t>
            </w:r>
            <w:r w:rsidRPr="00952B77">
              <w:rPr>
                <w:i/>
                <w:iCs/>
              </w:rPr>
              <w:t>memory (b144);</w:t>
            </w:r>
            <w:r w:rsidRPr="00952B77">
              <w:t xml:space="preserve"> </w:t>
            </w:r>
            <w:r w:rsidRPr="00952B77">
              <w:rPr>
                <w:i/>
                <w:iCs/>
              </w:rPr>
              <w:t xml:space="preserve">Interpersonal interactions and relationships, other unspecified (d799); </w:t>
            </w:r>
            <w:r w:rsidRPr="00952B77">
              <w:t xml:space="preserve">and </w:t>
            </w:r>
            <w:r w:rsidRPr="00952B77">
              <w:rPr>
                <w:i/>
                <w:iCs/>
              </w:rPr>
              <w:t>looking after one’s health (d570)</w:t>
            </w:r>
          </w:p>
        </w:tc>
      </w:tr>
      <w:tr w:rsidR="005A40BB" w:rsidRPr="00952B77" w14:paraId="5061F7A9" w14:textId="77777777" w:rsidTr="005A40BB">
        <w:trPr>
          <w:trHeight w:val="1280"/>
        </w:trPr>
        <w:tc>
          <w:tcPr>
            <w:tcW w:w="1300" w:type="dxa"/>
            <w:noWrap/>
            <w:hideMark/>
          </w:tcPr>
          <w:p w14:paraId="4F3BBA05" w14:textId="77777777" w:rsidR="00952B77" w:rsidRPr="00952B77" w:rsidRDefault="00952B77" w:rsidP="00952B77">
            <w:r w:rsidRPr="00952B77">
              <w:lastRenderedPageBreak/>
              <w:t>9</w:t>
            </w:r>
          </w:p>
        </w:tc>
        <w:tc>
          <w:tcPr>
            <w:tcW w:w="4297" w:type="dxa"/>
            <w:hideMark/>
          </w:tcPr>
          <w:p w14:paraId="415C3971" w14:textId="77777777" w:rsidR="00952B77" w:rsidRPr="00952B77" w:rsidRDefault="00952B77">
            <w:r w:rsidRPr="00952B77">
              <w:t xml:space="preserve">If the information provided by the item is not sufficient for making a decision about which ICF category the item should be linked to, this item is assigned </w:t>
            </w:r>
            <w:proofErr w:type="spellStart"/>
            <w:r w:rsidRPr="00952B77">
              <w:t>nd</w:t>
            </w:r>
            <w:proofErr w:type="spellEnd"/>
            <w:r w:rsidRPr="00952B77">
              <w:t xml:space="preserve"> (not definable).</w:t>
            </w:r>
          </w:p>
        </w:tc>
        <w:tc>
          <w:tcPr>
            <w:tcW w:w="3753" w:type="dxa"/>
            <w:hideMark/>
          </w:tcPr>
          <w:p w14:paraId="29581BC4" w14:textId="6BD7A349" w:rsidR="00AD3FCA" w:rsidRDefault="00952B77" w:rsidP="005A40BB">
            <w:r w:rsidRPr="00952B77">
              <w:t xml:space="preserve">Item 7 of the Mental Slowness Questionnaire (MSQ) </w:t>
            </w:r>
            <w:r w:rsidR="00B922AA">
              <w:fldChar w:fldCharType="begin"/>
            </w:r>
            <w:r w:rsidR="008D4EBF">
              <w:instrText xml:space="preserve"> ADDIN ZOTERO_ITEM CSL_CITATION {"citationID":"ODVeRuyo","properties":{"formattedCitation":"[6]","plainCitation":"[6]","noteIndex":0},"citationItems":[{"id":7102,"uris":["http://zotero.org/users/1351849/items/3PN6QWZF"],"uri":["http://zotero.org/users/1351849/items/3PN6QWZF"],"itemData":{"id":7102,"type":"article-journal","title":"A self-assessment questionnaire for mental fatigue and related symptoms after neurological disorders and injuries","container-title":"Brain Injury","page":"2-12","volume":"24","abstract":"Primary objective: The purpose was to evaluate a new self-reporting scale for assessment of mental fatigue and its usefulness in describing mental fatigue after neurological diseases and injuries. Mental fatigue is suggested to comprise a spectrum of items including sensory, emotional and cognitive symptoms. Methods and procedures: Mental fatigue and related symptoms were measured with a self-assessment scale on different diagnostic groups with neurological injuries and diseases as well as healthy controls. The scale covers sleep, sensory, emotional and cognitive domains, mental recovery and 24-hour variation. Results: There were significant correlations between all the questions in the self-assessing scale and also a high internal consistency among items (Cronbach's alpha of 0.944). Despite the different aetiologies of mental fatigue and related symptoms, the individuals rated the questions in a similar way. The total sum of scores, as well as the separate questions showed significantly lower values for healthy controls compared to mental fatigue groups. Conclusion: In spite of the different aetiology of mental fatigue, the items included in the scale were significant for different diseases with co-occurring mental fatigue. The self-reported scale is suggested to be a valuable tool for assessment of mental fatigue in different diagnoses.","DOI":"10.3109/02699050903452961","ISSN":"0269-9052","author":[{"family":"Johansson","given":"Birgitta"},{"family":"Starmark","given":"Anders"},{"family":"Berglund","given":"Peter"},{"family":"Rodholm","given":"Martin"},{"family":"Ronnback","given":"Lars"}],"issued":{"date-parts":[["2010",1]]}}}],"schema":"https://github.com/citation-style-language/schema/raw/master/csl-citation.json"} </w:instrText>
            </w:r>
            <w:r w:rsidR="00B922AA">
              <w:fldChar w:fldCharType="separate"/>
            </w:r>
            <w:r w:rsidR="008D4EBF">
              <w:rPr>
                <w:noProof/>
              </w:rPr>
              <w:t>[6]</w:t>
            </w:r>
            <w:r w:rsidR="00B922AA">
              <w:fldChar w:fldCharType="end"/>
            </w:r>
            <w:r w:rsidR="00875303">
              <w:t xml:space="preserve"> </w:t>
            </w:r>
            <w:r w:rsidRPr="00952B77">
              <w:t xml:space="preserve">states </w:t>
            </w:r>
            <w:r w:rsidR="00AD3FCA">
              <w:t>–</w:t>
            </w:r>
            <w:r w:rsidRPr="00952B77">
              <w:t xml:space="preserve"> </w:t>
            </w:r>
            <w:r w:rsidR="00AD3FCA">
              <w:t>“</w:t>
            </w:r>
            <w:r w:rsidR="00F02710" w:rsidRPr="00F02710">
              <w:rPr>
                <w:i/>
              </w:rPr>
              <w:t xml:space="preserve">4. Mental recovery </w:t>
            </w:r>
            <w:r w:rsidR="00F02710">
              <w:t>- If you have to take a break, how long do you need to recover after you have worked ‘until you drop’ or are no longer able to concentrate on what you are doing?</w:t>
            </w:r>
            <w:r w:rsidR="00AD3FCA">
              <w:t>”</w:t>
            </w:r>
            <w:r w:rsidR="005A40BB">
              <w:t xml:space="preserve"> </w:t>
            </w:r>
          </w:p>
          <w:p w14:paraId="0A1485E9" w14:textId="18484F84" w:rsidR="00952B77" w:rsidRPr="00952B77" w:rsidRDefault="00F02710" w:rsidP="005A40BB">
            <w:r>
              <w:rPr>
                <w:i/>
              </w:rPr>
              <w:t>Mental recovery</w:t>
            </w:r>
            <w:r w:rsidR="005A40BB">
              <w:t xml:space="preserve"> would be assigned the </w:t>
            </w:r>
            <w:proofErr w:type="spellStart"/>
            <w:r w:rsidR="005A40BB">
              <w:t>nd</w:t>
            </w:r>
            <w:proofErr w:type="spellEnd"/>
            <w:r w:rsidR="005A40BB">
              <w:t xml:space="preserve"> (not definable) </w:t>
            </w:r>
            <w:commentRangeStart w:id="1"/>
            <w:commentRangeStart w:id="2"/>
            <w:r w:rsidR="005A40BB">
              <w:t>category</w:t>
            </w:r>
            <w:commentRangeEnd w:id="1"/>
            <w:r w:rsidR="00D05B26">
              <w:t xml:space="preserve"> under the mental functions</w:t>
            </w:r>
            <w:r w:rsidR="008E1A04">
              <w:rPr>
                <w:rStyle w:val="CommentReference"/>
              </w:rPr>
              <w:commentReference w:id="1"/>
            </w:r>
            <w:commentRangeEnd w:id="2"/>
            <w:r w:rsidR="00D05B26">
              <w:t xml:space="preserve"> construct</w:t>
            </w:r>
            <w:r w:rsidR="005439D8">
              <w:rPr>
                <w:rStyle w:val="CommentReference"/>
              </w:rPr>
              <w:commentReference w:id="2"/>
            </w:r>
          </w:p>
        </w:tc>
      </w:tr>
      <w:tr w:rsidR="005A40BB" w:rsidRPr="00952B77" w14:paraId="767DE812" w14:textId="77777777" w:rsidTr="005A40BB">
        <w:trPr>
          <w:trHeight w:val="1600"/>
        </w:trPr>
        <w:tc>
          <w:tcPr>
            <w:tcW w:w="1300" w:type="dxa"/>
            <w:noWrap/>
            <w:hideMark/>
          </w:tcPr>
          <w:p w14:paraId="5966FB30" w14:textId="77777777" w:rsidR="00952B77" w:rsidRPr="00952B77" w:rsidRDefault="00952B77" w:rsidP="00952B77">
            <w:r w:rsidRPr="00952B77">
              <w:t>10</w:t>
            </w:r>
          </w:p>
        </w:tc>
        <w:tc>
          <w:tcPr>
            <w:tcW w:w="4297" w:type="dxa"/>
            <w:hideMark/>
          </w:tcPr>
          <w:p w14:paraId="5EBF56BF" w14:textId="77777777" w:rsidR="00952B77" w:rsidRPr="00952B77" w:rsidRDefault="00952B77">
            <w:r w:rsidRPr="00952B77">
              <w:t xml:space="preserve">If an item is not contained in the ICF classification, then this item is assigned </w:t>
            </w:r>
            <w:proofErr w:type="spellStart"/>
            <w:r w:rsidRPr="00952B77">
              <w:t>nc</w:t>
            </w:r>
            <w:proofErr w:type="spellEnd"/>
            <w:r w:rsidRPr="00952B77">
              <w:t xml:space="preserve"> (not covered by ICF).</w:t>
            </w:r>
          </w:p>
        </w:tc>
        <w:tc>
          <w:tcPr>
            <w:tcW w:w="3753" w:type="dxa"/>
            <w:hideMark/>
          </w:tcPr>
          <w:p w14:paraId="6D6FD652" w14:textId="77777777" w:rsidR="00952B77" w:rsidRPr="00952B77" w:rsidRDefault="00952B77" w:rsidP="005A40BB">
            <w:r w:rsidRPr="00952B77">
              <w:rPr>
                <w:i/>
                <w:iCs/>
              </w:rPr>
              <w:t>Premotor functions</w:t>
            </w:r>
            <w:r w:rsidRPr="00952B77">
              <w:t xml:space="preserve"> were evaluated in two of the included studies (</w:t>
            </w:r>
            <w:proofErr w:type="spellStart"/>
            <w:r w:rsidRPr="00952B77">
              <w:t>Dacosta</w:t>
            </w:r>
            <w:proofErr w:type="spellEnd"/>
            <w:r w:rsidRPr="00952B77">
              <w:t xml:space="preserve">-Aguayo et al., 2014; and Grau-Olivares et al., 2010) using Luria's sequences. </w:t>
            </w:r>
            <w:r w:rsidRPr="00952B77">
              <w:rPr>
                <w:i/>
                <w:iCs/>
              </w:rPr>
              <w:t>Premotor functions</w:t>
            </w:r>
            <w:r w:rsidRPr="00952B77">
              <w:t xml:space="preserve"> were coded as </w:t>
            </w:r>
            <w:proofErr w:type="spellStart"/>
            <w:r w:rsidRPr="00952B77">
              <w:t>nc</w:t>
            </w:r>
            <w:proofErr w:type="spellEnd"/>
            <w:r w:rsidRPr="00952B77">
              <w:t xml:space="preserve"> (not covered by the ICF)</w:t>
            </w:r>
          </w:p>
        </w:tc>
      </w:tr>
      <w:tr w:rsidR="00952B77" w:rsidRPr="00952B77" w14:paraId="560803D3" w14:textId="77777777" w:rsidTr="005A40BB">
        <w:trPr>
          <w:trHeight w:val="320"/>
        </w:trPr>
        <w:tc>
          <w:tcPr>
            <w:tcW w:w="9350" w:type="dxa"/>
            <w:gridSpan w:val="3"/>
            <w:hideMark/>
          </w:tcPr>
          <w:p w14:paraId="329176C6" w14:textId="77777777" w:rsidR="00E11350" w:rsidRDefault="00E11350" w:rsidP="00952B77">
            <w:r>
              <w:t xml:space="preserve">ICF, International Classification of Functioning, Disability, and Health. </w:t>
            </w:r>
          </w:p>
          <w:p w14:paraId="573CE41D" w14:textId="4845A32B" w:rsidR="00952B77" w:rsidRPr="00952B77" w:rsidRDefault="00952B77" w:rsidP="00952B77">
            <w:r w:rsidRPr="00952B77">
              <w:t>Examples</w:t>
            </w:r>
            <w:r w:rsidR="00E60825">
              <w:t xml:space="preserve"> were</w:t>
            </w:r>
            <w:r w:rsidRPr="00952B77">
              <w:t xml:space="preserve"> adapted from </w:t>
            </w:r>
            <w:proofErr w:type="spellStart"/>
            <w:r w:rsidRPr="00952B77">
              <w:t>Cieza</w:t>
            </w:r>
            <w:proofErr w:type="spellEnd"/>
            <w:r w:rsidRPr="00952B77">
              <w:t xml:space="preserve"> et. al., 2002, </w:t>
            </w:r>
            <w:r w:rsidR="00B67FD5">
              <w:t xml:space="preserve">table 1, </w:t>
            </w:r>
            <w:r w:rsidRPr="00952B77">
              <w:t>p.206</w:t>
            </w:r>
            <w:r w:rsidR="00ED3735">
              <w:t xml:space="preserve">; linking rules are </w:t>
            </w:r>
            <w:r w:rsidR="00A757AC">
              <w:t>the same as reported in the original paper</w:t>
            </w:r>
            <w:r w:rsidR="0005443A">
              <w:t xml:space="preserve">. For rule </w:t>
            </w:r>
            <w:r w:rsidR="00B67FD5">
              <w:t>#6 we did not use the sub-items a) and b)</w:t>
            </w:r>
          </w:p>
        </w:tc>
      </w:tr>
    </w:tbl>
    <w:p w14:paraId="0C87A6F3" w14:textId="2CB1FE82" w:rsidR="00B2004B" w:rsidRDefault="00B2004B"/>
    <w:p w14:paraId="437D9A64" w14:textId="537C89CF" w:rsidR="007B5B60" w:rsidRDefault="007B5B60">
      <w:pPr>
        <w:rPr>
          <w:b/>
          <w:i/>
        </w:rPr>
      </w:pPr>
      <w:r w:rsidRPr="007B5B60">
        <w:rPr>
          <w:b/>
          <w:i/>
        </w:rPr>
        <w:t>References</w:t>
      </w:r>
    </w:p>
    <w:p w14:paraId="4D84A17A" w14:textId="77777777" w:rsidR="007B5B60" w:rsidRPr="007B5B60" w:rsidRDefault="007B5B60" w:rsidP="007B5B60">
      <w:pPr>
        <w:pStyle w:val="Bibliography"/>
        <w:rPr>
          <w:rFonts w:ascii="Calibri" w:cs="Calibri"/>
        </w:rPr>
      </w:pPr>
      <w:r>
        <w:fldChar w:fldCharType="begin"/>
      </w:r>
      <w:r>
        <w:instrText xml:space="preserve"> ADDIN ZOTERO_BIBL {"uncited":[],"omitted":[],"custom":[]} CSL_BIBLIOGRAPHY </w:instrText>
      </w:r>
      <w:r>
        <w:fldChar w:fldCharType="separate"/>
      </w:r>
      <w:r w:rsidRPr="007B5B60">
        <w:rPr>
          <w:rFonts w:ascii="Calibri" w:cs="Calibri"/>
        </w:rPr>
        <w:t xml:space="preserve">1. </w:t>
      </w:r>
      <w:r w:rsidRPr="007B5B60">
        <w:rPr>
          <w:rFonts w:ascii="Calibri" w:cs="Calibri"/>
        </w:rPr>
        <w:tab/>
        <w:t xml:space="preserve">Cieza A, Brockow T, Ewert T, Amman E, Kollerits B, Chatterji S, et al. Linking health-status measurements to the international classification of functioning, disability and health. J Rehabil Med. 2002;34: 205–210. </w:t>
      </w:r>
    </w:p>
    <w:p w14:paraId="7433A693" w14:textId="77777777" w:rsidR="007B5B60" w:rsidRPr="007B5B60" w:rsidRDefault="007B5B60" w:rsidP="007B5B60">
      <w:pPr>
        <w:pStyle w:val="Bibliography"/>
        <w:rPr>
          <w:rFonts w:ascii="Calibri" w:cs="Calibri"/>
        </w:rPr>
      </w:pPr>
      <w:r w:rsidRPr="007B5B60">
        <w:rPr>
          <w:rFonts w:ascii="Calibri" w:cs="Calibri"/>
        </w:rPr>
        <w:t xml:space="preserve">2. </w:t>
      </w:r>
      <w:r w:rsidRPr="007B5B60">
        <w:rPr>
          <w:rFonts w:ascii="Calibri" w:cs="Calibri"/>
        </w:rPr>
        <w:tab/>
        <w:t xml:space="preserve">Keith RA, Granger CV, Hamilton BB, Sherwin FS. The functional independence measure. Adv Clin Rehabil. 1987;1: 6–18. </w:t>
      </w:r>
    </w:p>
    <w:p w14:paraId="7C8A4CC2" w14:textId="77777777" w:rsidR="007B5B60" w:rsidRPr="007B5B60" w:rsidRDefault="007B5B60" w:rsidP="007B5B60">
      <w:pPr>
        <w:pStyle w:val="Bibliography"/>
        <w:rPr>
          <w:rFonts w:ascii="Calibri" w:cs="Calibri"/>
        </w:rPr>
      </w:pPr>
      <w:r w:rsidRPr="007B5B60">
        <w:rPr>
          <w:rFonts w:ascii="Calibri" w:cs="Calibri"/>
        </w:rPr>
        <w:t xml:space="preserve">3. </w:t>
      </w:r>
      <w:r w:rsidRPr="007B5B60">
        <w:rPr>
          <w:rFonts w:ascii="Calibri" w:cs="Calibri"/>
        </w:rPr>
        <w:tab/>
        <w:t xml:space="preserve">Nasreddine ZS, Phillips NA, Bédirian V, Charbonneau S, Whitehead V, Collin I, et al. The Montreal Cognitive Assessment, MoCA: a brief screening tool for mild cognitive impairment. J Am Geriatr Soc. 2005;53: 695–699. </w:t>
      </w:r>
    </w:p>
    <w:p w14:paraId="60AFBC50" w14:textId="77777777" w:rsidR="007B5B60" w:rsidRPr="007B5B60" w:rsidRDefault="007B5B60" w:rsidP="007B5B60">
      <w:pPr>
        <w:pStyle w:val="Bibliography"/>
        <w:rPr>
          <w:rFonts w:ascii="Calibri" w:cs="Calibri"/>
        </w:rPr>
      </w:pPr>
      <w:r w:rsidRPr="007B5B60">
        <w:rPr>
          <w:rFonts w:ascii="Calibri" w:cs="Calibri"/>
        </w:rPr>
        <w:t xml:space="preserve">4. </w:t>
      </w:r>
      <w:r w:rsidRPr="007B5B60">
        <w:rPr>
          <w:rFonts w:ascii="Calibri" w:cs="Calibri"/>
        </w:rPr>
        <w:tab/>
        <w:t>Duncan PW, Reker DM, Horner RD, Samsa GP, Hoenig H, LaClair BJ, et al. Performance of a mail-administered version of a stroke-specific outcome measure, the Stroke Impact Scale. Clin Rehabil. 2002;16: 493–505. doi:10.1191/0269215502cr510oa</w:t>
      </w:r>
    </w:p>
    <w:p w14:paraId="50D8436B" w14:textId="77777777" w:rsidR="007B5B60" w:rsidRPr="007B5B60" w:rsidRDefault="007B5B60" w:rsidP="007B5B60">
      <w:pPr>
        <w:pStyle w:val="Bibliography"/>
        <w:rPr>
          <w:rFonts w:ascii="Calibri" w:cs="Calibri"/>
        </w:rPr>
      </w:pPr>
      <w:r w:rsidRPr="007B5B60">
        <w:rPr>
          <w:rFonts w:ascii="Calibri" w:cs="Calibri"/>
        </w:rPr>
        <w:t xml:space="preserve">5. </w:t>
      </w:r>
      <w:r w:rsidRPr="007B5B60">
        <w:rPr>
          <w:rFonts w:ascii="Calibri" w:cs="Calibri"/>
        </w:rPr>
        <w:tab/>
        <w:t xml:space="preserve">Baum CM, Connor LT, Morrison T, Hahn M, Dromerick AW, Edwards DF. Reliability, validity, and clinical utility of the Executive Function Performance Test: a measure of executive function in a sample of people with stroke. Am J Occup Ther Off Publ Am Occup Ther Assoc. 2008;62: 446–455. </w:t>
      </w:r>
    </w:p>
    <w:p w14:paraId="139F5177" w14:textId="77777777" w:rsidR="007B5B60" w:rsidRPr="007B5B60" w:rsidRDefault="007B5B60" w:rsidP="007B5B60">
      <w:pPr>
        <w:pStyle w:val="Bibliography"/>
        <w:rPr>
          <w:rFonts w:ascii="Calibri" w:cs="Calibri"/>
        </w:rPr>
      </w:pPr>
      <w:r w:rsidRPr="007B5B60">
        <w:rPr>
          <w:rFonts w:ascii="Calibri" w:cs="Calibri"/>
        </w:rPr>
        <w:lastRenderedPageBreak/>
        <w:t xml:space="preserve">6. </w:t>
      </w:r>
      <w:r w:rsidRPr="007B5B60">
        <w:rPr>
          <w:rFonts w:ascii="Calibri" w:cs="Calibri"/>
        </w:rPr>
        <w:tab/>
        <w:t>Johansson B, Starmark A, Berglund P, Rodholm M, Ronnback L. A self-assessment questionnaire for mental fatigue and related symptoms after neurological disorders and injuries. Brain Inj. 2010;24: 2–12. doi:10.3109/02699050903452961</w:t>
      </w:r>
    </w:p>
    <w:p w14:paraId="3D96F334" w14:textId="1BFA1DA5" w:rsidR="007B5B60" w:rsidRDefault="007B5B60">
      <w:r>
        <w:fldChar w:fldCharType="end"/>
      </w:r>
    </w:p>
    <w:sectPr w:rsidR="007B5B60" w:rsidSect="00BA65E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Leeanne Carey" w:date="2019-08-03T16:14:00Z" w:initials="LC">
    <w:p w14:paraId="458625DD" w14:textId="0A7529A0" w:rsidR="008E1A04" w:rsidRDefault="008E1A04">
      <w:pPr>
        <w:pStyle w:val="CommentText"/>
      </w:pPr>
      <w:r>
        <w:rPr>
          <w:rStyle w:val="CommentReference"/>
        </w:rPr>
        <w:annotationRef/>
      </w:r>
      <w:r w:rsidR="0070751D">
        <w:t>?would it some way be linked with thinking ability at a higher level?</w:t>
      </w:r>
    </w:p>
  </w:comment>
  <w:comment w:id="2" w:author="Juan Pablo Saa" w:date="2019-08-09T14:22:00Z" w:initials="JPS">
    <w:p w14:paraId="0F95E1F6" w14:textId="77777777" w:rsidR="005439D8" w:rsidRDefault="005439D8">
      <w:pPr>
        <w:pStyle w:val="CommentText"/>
      </w:pPr>
      <w:r>
        <w:rPr>
          <w:rStyle w:val="CommentReference"/>
        </w:rPr>
        <w:annotationRef/>
      </w:r>
      <w:r w:rsidR="00B202E8">
        <w:t xml:space="preserve">Makes sense, but higher-level </w:t>
      </w:r>
      <w:r w:rsidR="00E31BE1">
        <w:t xml:space="preserve">cognition only includes the following: </w:t>
      </w:r>
    </w:p>
    <w:p w14:paraId="0DBE0417" w14:textId="77777777" w:rsidR="00E31BE1" w:rsidRDefault="00E31BE1" w:rsidP="00E31BE1">
      <w:pPr>
        <w:pStyle w:val="NormalWeb"/>
      </w:pPr>
      <w:r>
        <w:rPr>
          <w:rFonts w:ascii="MinionMM" w:hAnsi="MinionMM"/>
          <w:i/>
          <w:iCs/>
          <w:sz w:val="20"/>
          <w:szCs w:val="20"/>
        </w:rPr>
        <w:t xml:space="preserve">Inclusions: functions of abstraction and organization of ideas; time management, insight and judgement; concept formation, categorization and cognitive flexibility </w:t>
      </w:r>
    </w:p>
    <w:p w14:paraId="3A5C2E25" w14:textId="77777777" w:rsidR="00E31BE1" w:rsidRDefault="00E31BE1">
      <w:pPr>
        <w:pStyle w:val="CommentText"/>
      </w:pPr>
    </w:p>
    <w:p w14:paraId="60E22287" w14:textId="567FA85E" w:rsidR="008F7DC8" w:rsidRDefault="008F7DC8">
      <w:pPr>
        <w:pStyle w:val="CommentText"/>
      </w:pPr>
      <w:r>
        <w:t xml:space="preserve">I think it would make more sense </w:t>
      </w:r>
      <w:r w:rsidR="00285A0B">
        <w:t>for slowness or sluggish</w:t>
      </w:r>
      <w:r>
        <w:t xml:space="preserve">ness </w:t>
      </w:r>
      <w:r w:rsidR="00285A0B">
        <w:t xml:space="preserve">to be </w:t>
      </w:r>
      <w:r w:rsidR="0085240E">
        <w:t xml:space="preserve">categorized under psychomotor </w:t>
      </w:r>
      <w:r w:rsidR="00757607">
        <w:t>control, which is defined as:</w:t>
      </w:r>
    </w:p>
    <w:p w14:paraId="46CB0C7B" w14:textId="77777777" w:rsidR="0085240E" w:rsidRDefault="0085240E">
      <w:pPr>
        <w:pStyle w:val="CommentText"/>
      </w:pPr>
    </w:p>
    <w:p w14:paraId="6B9EF742" w14:textId="291F3A92" w:rsidR="0085240E" w:rsidRDefault="0085240E" w:rsidP="0085240E">
      <w:pPr>
        <w:pStyle w:val="NormalWeb"/>
        <w:rPr>
          <w:rFonts w:ascii="MinionMM_367_585_11_" w:hAnsi="MinionMM_367_585_11_"/>
          <w:i/>
          <w:sz w:val="20"/>
          <w:szCs w:val="20"/>
        </w:rPr>
      </w:pPr>
      <w:r w:rsidRPr="004616AC">
        <w:rPr>
          <w:rFonts w:ascii="MinionMM_367_585_11_" w:hAnsi="MinionMM_367_585_11_"/>
          <w:i/>
          <w:sz w:val="20"/>
          <w:szCs w:val="20"/>
        </w:rPr>
        <w:t xml:space="preserve">Mental functions that regulate the speed of </w:t>
      </w:r>
      <w:proofErr w:type="spellStart"/>
      <w:r w:rsidRPr="004616AC">
        <w:rPr>
          <w:rFonts w:ascii="MinionMM_367_585_11_" w:hAnsi="MinionMM_367_585_11_"/>
          <w:i/>
          <w:sz w:val="20"/>
          <w:szCs w:val="20"/>
        </w:rPr>
        <w:t>behaviour</w:t>
      </w:r>
      <w:proofErr w:type="spellEnd"/>
      <w:r w:rsidRPr="004616AC">
        <w:rPr>
          <w:rFonts w:ascii="MinionMM_367_585_11_" w:hAnsi="MinionMM_367_585_11_"/>
          <w:i/>
          <w:sz w:val="20"/>
          <w:szCs w:val="20"/>
        </w:rPr>
        <w:t xml:space="preserve"> or response time that involves both motor and psychological components, such as in disruption of control producing psychomotor retardation (moving and speaking slowly; decrease in gesturing and spontaneity) or psychomotor excitement (excessive </w:t>
      </w:r>
      <w:proofErr w:type="spellStart"/>
      <w:r w:rsidRPr="004616AC">
        <w:rPr>
          <w:rFonts w:ascii="MinionMM_367_585_11_" w:hAnsi="MinionMM_367_585_11_"/>
          <w:i/>
          <w:sz w:val="20"/>
          <w:szCs w:val="20"/>
        </w:rPr>
        <w:t>behavioural</w:t>
      </w:r>
      <w:proofErr w:type="spellEnd"/>
      <w:r w:rsidRPr="004616AC">
        <w:rPr>
          <w:rFonts w:ascii="MinionMM_367_585_11_" w:hAnsi="MinionMM_367_585_11_"/>
          <w:i/>
          <w:sz w:val="20"/>
          <w:szCs w:val="20"/>
        </w:rPr>
        <w:t xml:space="preserve"> and cognitive activity, usually nonproductive and often in response to inner tension as in toe-tapping, hand-wringing, agitation, or restlessness.) </w:t>
      </w:r>
    </w:p>
    <w:p w14:paraId="2E16AEAF" w14:textId="37383988" w:rsidR="00D05B26" w:rsidRDefault="00D05B26" w:rsidP="0085240E">
      <w:pPr>
        <w:pStyle w:val="NormalWeb"/>
        <w:rPr>
          <w:rFonts w:ascii="MinionMM_367_585_11_" w:hAnsi="MinionMM_367_585_11_"/>
          <w:i/>
          <w:sz w:val="20"/>
          <w:szCs w:val="20"/>
        </w:rPr>
      </w:pPr>
    </w:p>
    <w:p w14:paraId="0303D49A" w14:textId="7E8AD583" w:rsidR="00D05B26" w:rsidRPr="00D05B26" w:rsidRDefault="00D05B26" w:rsidP="0085240E">
      <w:pPr>
        <w:pStyle w:val="NormalWeb"/>
      </w:pPr>
      <w:r>
        <w:rPr>
          <w:rFonts w:ascii="MinionMM_367_585_11_" w:hAnsi="MinionMM_367_585_11_"/>
          <w:sz w:val="20"/>
          <w:szCs w:val="20"/>
        </w:rPr>
        <w:t>I have changed the example to make it less confusing</w:t>
      </w:r>
    </w:p>
    <w:p w14:paraId="4FE0C2C4" w14:textId="5E539013" w:rsidR="0085240E" w:rsidRPr="004616AC" w:rsidRDefault="0085240E">
      <w:pPr>
        <w:pStyle w:val="CommentText"/>
        <w:rPr>
          <w:i/>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8625DD" w15:done="0"/>
  <w15:commentEx w15:paraId="4FE0C2C4" w15:paraIdParent="458625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8625DD" w16cid:durableId="20F03178"/>
  <w16cid:commentId w16cid:paraId="4FE0C2C4" w16cid:durableId="20F800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inionMM">
    <w:altName w:val="Cambria"/>
    <w:panose1 w:val="020B0604020202020204"/>
    <w:charset w:val="00"/>
    <w:family w:val="roman"/>
    <w:notTrueType/>
    <w:pitch w:val="default"/>
  </w:font>
  <w:font w:name="MinionMM_367_585_11_">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eanne Carey">
    <w15:presenceInfo w15:providerId="AD" w15:userId="S::L2Carey@ltu.edu.au::7f4a2ec2-869d-4865-9452-93df8daeff88"/>
  </w15:person>
  <w15:person w15:author="Juan Pablo Saa">
    <w15:presenceInfo w15:providerId="Windows Live" w15:userId="4965ac6d906c8e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B77"/>
    <w:rsid w:val="00011D61"/>
    <w:rsid w:val="000277D1"/>
    <w:rsid w:val="000330C8"/>
    <w:rsid w:val="0004529D"/>
    <w:rsid w:val="0005443A"/>
    <w:rsid w:val="00054D07"/>
    <w:rsid w:val="00063D6C"/>
    <w:rsid w:val="000A1B5D"/>
    <w:rsid w:val="000C15DF"/>
    <w:rsid w:val="000E1479"/>
    <w:rsid w:val="00111B60"/>
    <w:rsid w:val="0012471A"/>
    <w:rsid w:val="00173791"/>
    <w:rsid w:val="001769DB"/>
    <w:rsid w:val="001A32D3"/>
    <w:rsid w:val="001A37B6"/>
    <w:rsid w:val="001A3AC9"/>
    <w:rsid w:val="001C4465"/>
    <w:rsid w:val="001E5B2F"/>
    <w:rsid w:val="002269AB"/>
    <w:rsid w:val="002323C3"/>
    <w:rsid w:val="00233B31"/>
    <w:rsid w:val="00262A6D"/>
    <w:rsid w:val="002703C1"/>
    <w:rsid w:val="002720A2"/>
    <w:rsid w:val="00273DFF"/>
    <w:rsid w:val="00285A0B"/>
    <w:rsid w:val="002A65C1"/>
    <w:rsid w:val="002A6C9F"/>
    <w:rsid w:val="002C5B93"/>
    <w:rsid w:val="00330D86"/>
    <w:rsid w:val="0034479E"/>
    <w:rsid w:val="003653A2"/>
    <w:rsid w:val="00367097"/>
    <w:rsid w:val="003719B2"/>
    <w:rsid w:val="00397720"/>
    <w:rsid w:val="003B29A3"/>
    <w:rsid w:val="003E1382"/>
    <w:rsid w:val="004032E1"/>
    <w:rsid w:val="00406BAC"/>
    <w:rsid w:val="00435939"/>
    <w:rsid w:val="0045415F"/>
    <w:rsid w:val="0045613A"/>
    <w:rsid w:val="004616AC"/>
    <w:rsid w:val="004A3A53"/>
    <w:rsid w:val="004D0E7F"/>
    <w:rsid w:val="004D57F5"/>
    <w:rsid w:val="004D7D4C"/>
    <w:rsid w:val="004E01A5"/>
    <w:rsid w:val="004E2E3B"/>
    <w:rsid w:val="0050567A"/>
    <w:rsid w:val="005439D8"/>
    <w:rsid w:val="0056197E"/>
    <w:rsid w:val="00574F61"/>
    <w:rsid w:val="005A40BB"/>
    <w:rsid w:val="005B07BE"/>
    <w:rsid w:val="005B7199"/>
    <w:rsid w:val="005D0B55"/>
    <w:rsid w:val="005D247F"/>
    <w:rsid w:val="005D3E58"/>
    <w:rsid w:val="005E2E5C"/>
    <w:rsid w:val="00603BBD"/>
    <w:rsid w:val="00616E28"/>
    <w:rsid w:val="00645F77"/>
    <w:rsid w:val="006510A4"/>
    <w:rsid w:val="00655018"/>
    <w:rsid w:val="006701B3"/>
    <w:rsid w:val="00673A7C"/>
    <w:rsid w:val="006A0B23"/>
    <w:rsid w:val="006B7EAB"/>
    <w:rsid w:val="006D320F"/>
    <w:rsid w:val="006E2B16"/>
    <w:rsid w:val="006F46F6"/>
    <w:rsid w:val="007044B5"/>
    <w:rsid w:val="007072C8"/>
    <w:rsid w:val="0070751D"/>
    <w:rsid w:val="0071627D"/>
    <w:rsid w:val="00724828"/>
    <w:rsid w:val="00730406"/>
    <w:rsid w:val="0073691C"/>
    <w:rsid w:val="00740413"/>
    <w:rsid w:val="00752405"/>
    <w:rsid w:val="00757607"/>
    <w:rsid w:val="007618DF"/>
    <w:rsid w:val="00767F12"/>
    <w:rsid w:val="00787AC0"/>
    <w:rsid w:val="00791036"/>
    <w:rsid w:val="007B4D54"/>
    <w:rsid w:val="007B5B60"/>
    <w:rsid w:val="007F010A"/>
    <w:rsid w:val="007F1980"/>
    <w:rsid w:val="007F19BB"/>
    <w:rsid w:val="007F4047"/>
    <w:rsid w:val="007F5A33"/>
    <w:rsid w:val="007F6F92"/>
    <w:rsid w:val="00802E48"/>
    <w:rsid w:val="00804C42"/>
    <w:rsid w:val="0081607A"/>
    <w:rsid w:val="00827C3B"/>
    <w:rsid w:val="0083387F"/>
    <w:rsid w:val="0083449F"/>
    <w:rsid w:val="0085240E"/>
    <w:rsid w:val="00863FEA"/>
    <w:rsid w:val="00875303"/>
    <w:rsid w:val="0089343B"/>
    <w:rsid w:val="008B0701"/>
    <w:rsid w:val="008B0BBE"/>
    <w:rsid w:val="008B4394"/>
    <w:rsid w:val="008C74AC"/>
    <w:rsid w:val="008D370E"/>
    <w:rsid w:val="008D4EBF"/>
    <w:rsid w:val="008E1A04"/>
    <w:rsid w:val="008F7DC8"/>
    <w:rsid w:val="00927A49"/>
    <w:rsid w:val="009324A0"/>
    <w:rsid w:val="0093645D"/>
    <w:rsid w:val="0094357A"/>
    <w:rsid w:val="00951C3F"/>
    <w:rsid w:val="00952B77"/>
    <w:rsid w:val="009604BA"/>
    <w:rsid w:val="00986453"/>
    <w:rsid w:val="0099028E"/>
    <w:rsid w:val="00997728"/>
    <w:rsid w:val="009A190B"/>
    <w:rsid w:val="009B36DF"/>
    <w:rsid w:val="009C2B11"/>
    <w:rsid w:val="009D69DE"/>
    <w:rsid w:val="009D6A31"/>
    <w:rsid w:val="009F3928"/>
    <w:rsid w:val="00A272A2"/>
    <w:rsid w:val="00A403D4"/>
    <w:rsid w:val="00A537B6"/>
    <w:rsid w:val="00A56816"/>
    <w:rsid w:val="00A64B1B"/>
    <w:rsid w:val="00A71393"/>
    <w:rsid w:val="00A757AC"/>
    <w:rsid w:val="00A7623A"/>
    <w:rsid w:val="00A8542B"/>
    <w:rsid w:val="00A90532"/>
    <w:rsid w:val="00AB2CA4"/>
    <w:rsid w:val="00AB42E6"/>
    <w:rsid w:val="00AD3FCA"/>
    <w:rsid w:val="00AF1F9A"/>
    <w:rsid w:val="00AF2D93"/>
    <w:rsid w:val="00B00089"/>
    <w:rsid w:val="00B01DDA"/>
    <w:rsid w:val="00B042B3"/>
    <w:rsid w:val="00B1198E"/>
    <w:rsid w:val="00B12D08"/>
    <w:rsid w:val="00B149C5"/>
    <w:rsid w:val="00B2004B"/>
    <w:rsid w:val="00B202E8"/>
    <w:rsid w:val="00B5618D"/>
    <w:rsid w:val="00B67FD5"/>
    <w:rsid w:val="00B741FB"/>
    <w:rsid w:val="00B922AA"/>
    <w:rsid w:val="00B93C90"/>
    <w:rsid w:val="00BA46BE"/>
    <w:rsid w:val="00BA54A3"/>
    <w:rsid w:val="00BA65E7"/>
    <w:rsid w:val="00BD31E6"/>
    <w:rsid w:val="00BE00FE"/>
    <w:rsid w:val="00BE1A1E"/>
    <w:rsid w:val="00BE76D3"/>
    <w:rsid w:val="00BF26B6"/>
    <w:rsid w:val="00BF3319"/>
    <w:rsid w:val="00BF4960"/>
    <w:rsid w:val="00C04AE2"/>
    <w:rsid w:val="00C23950"/>
    <w:rsid w:val="00C245DB"/>
    <w:rsid w:val="00C619D6"/>
    <w:rsid w:val="00C71CE4"/>
    <w:rsid w:val="00C745E3"/>
    <w:rsid w:val="00C74B00"/>
    <w:rsid w:val="00CA5B64"/>
    <w:rsid w:val="00CB2D17"/>
    <w:rsid w:val="00CC072E"/>
    <w:rsid w:val="00CD60B7"/>
    <w:rsid w:val="00CF0636"/>
    <w:rsid w:val="00CF2AA9"/>
    <w:rsid w:val="00D05B26"/>
    <w:rsid w:val="00D2227A"/>
    <w:rsid w:val="00D2424F"/>
    <w:rsid w:val="00D371B1"/>
    <w:rsid w:val="00D41455"/>
    <w:rsid w:val="00D5062A"/>
    <w:rsid w:val="00D541C2"/>
    <w:rsid w:val="00D548DD"/>
    <w:rsid w:val="00D74CD6"/>
    <w:rsid w:val="00DC7BA0"/>
    <w:rsid w:val="00DD1616"/>
    <w:rsid w:val="00DE1A4D"/>
    <w:rsid w:val="00DE335A"/>
    <w:rsid w:val="00DF26C3"/>
    <w:rsid w:val="00E01B09"/>
    <w:rsid w:val="00E11350"/>
    <w:rsid w:val="00E114B5"/>
    <w:rsid w:val="00E22DA6"/>
    <w:rsid w:val="00E27E6A"/>
    <w:rsid w:val="00E31BE1"/>
    <w:rsid w:val="00E33040"/>
    <w:rsid w:val="00E336C6"/>
    <w:rsid w:val="00E34AAA"/>
    <w:rsid w:val="00E40104"/>
    <w:rsid w:val="00E53139"/>
    <w:rsid w:val="00E53B44"/>
    <w:rsid w:val="00E60825"/>
    <w:rsid w:val="00EB18DD"/>
    <w:rsid w:val="00EC0EE9"/>
    <w:rsid w:val="00EC1DCA"/>
    <w:rsid w:val="00EC4D4A"/>
    <w:rsid w:val="00ED3735"/>
    <w:rsid w:val="00EF122A"/>
    <w:rsid w:val="00F026E1"/>
    <w:rsid w:val="00F02710"/>
    <w:rsid w:val="00F062D7"/>
    <w:rsid w:val="00F1054F"/>
    <w:rsid w:val="00F15F87"/>
    <w:rsid w:val="00F204B3"/>
    <w:rsid w:val="00F2106C"/>
    <w:rsid w:val="00F25A7B"/>
    <w:rsid w:val="00F35B84"/>
    <w:rsid w:val="00F43631"/>
    <w:rsid w:val="00F77F71"/>
    <w:rsid w:val="00FA5675"/>
    <w:rsid w:val="00FD0DBF"/>
    <w:rsid w:val="00FD6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7E1F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2B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357A"/>
    <w:rPr>
      <w:sz w:val="16"/>
      <w:szCs w:val="16"/>
    </w:rPr>
  </w:style>
  <w:style w:type="paragraph" w:styleId="CommentText">
    <w:name w:val="annotation text"/>
    <w:basedOn w:val="Normal"/>
    <w:link w:val="CommentTextChar"/>
    <w:uiPriority w:val="99"/>
    <w:semiHidden/>
    <w:unhideWhenUsed/>
    <w:rsid w:val="0094357A"/>
    <w:rPr>
      <w:sz w:val="20"/>
      <w:szCs w:val="20"/>
    </w:rPr>
  </w:style>
  <w:style w:type="character" w:customStyle="1" w:styleId="CommentTextChar">
    <w:name w:val="Comment Text Char"/>
    <w:basedOn w:val="DefaultParagraphFont"/>
    <w:link w:val="CommentText"/>
    <w:uiPriority w:val="99"/>
    <w:semiHidden/>
    <w:rsid w:val="0094357A"/>
    <w:rPr>
      <w:sz w:val="20"/>
      <w:szCs w:val="20"/>
    </w:rPr>
  </w:style>
  <w:style w:type="paragraph" w:styleId="CommentSubject">
    <w:name w:val="annotation subject"/>
    <w:basedOn w:val="CommentText"/>
    <w:next w:val="CommentText"/>
    <w:link w:val="CommentSubjectChar"/>
    <w:uiPriority w:val="99"/>
    <w:semiHidden/>
    <w:unhideWhenUsed/>
    <w:rsid w:val="0094357A"/>
    <w:rPr>
      <w:b/>
      <w:bCs/>
    </w:rPr>
  </w:style>
  <w:style w:type="character" w:customStyle="1" w:styleId="CommentSubjectChar">
    <w:name w:val="Comment Subject Char"/>
    <w:basedOn w:val="CommentTextChar"/>
    <w:link w:val="CommentSubject"/>
    <w:uiPriority w:val="99"/>
    <w:semiHidden/>
    <w:rsid w:val="0094357A"/>
    <w:rPr>
      <w:b/>
      <w:bCs/>
      <w:sz w:val="20"/>
      <w:szCs w:val="20"/>
    </w:rPr>
  </w:style>
  <w:style w:type="paragraph" w:styleId="BalloonText">
    <w:name w:val="Balloon Text"/>
    <w:basedOn w:val="Normal"/>
    <w:link w:val="BalloonTextChar"/>
    <w:uiPriority w:val="99"/>
    <w:semiHidden/>
    <w:unhideWhenUsed/>
    <w:rsid w:val="009435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357A"/>
    <w:rPr>
      <w:rFonts w:ascii="Segoe UI" w:hAnsi="Segoe UI" w:cs="Segoe UI"/>
      <w:sz w:val="18"/>
      <w:szCs w:val="18"/>
    </w:rPr>
  </w:style>
  <w:style w:type="paragraph" w:styleId="NormalWeb">
    <w:name w:val="Normal (Web)"/>
    <w:basedOn w:val="Normal"/>
    <w:uiPriority w:val="99"/>
    <w:semiHidden/>
    <w:unhideWhenUsed/>
    <w:rsid w:val="00E31BE1"/>
    <w:pPr>
      <w:spacing w:before="100" w:beforeAutospacing="1" w:after="100" w:afterAutospacing="1"/>
    </w:pPr>
    <w:rPr>
      <w:rFonts w:ascii="Times New Roman" w:eastAsia="Times New Roman" w:hAnsi="Times New Roman" w:cs="Times New Roman"/>
    </w:rPr>
  </w:style>
  <w:style w:type="paragraph" w:styleId="Bibliography">
    <w:name w:val="Bibliography"/>
    <w:basedOn w:val="Normal"/>
    <w:next w:val="Normal"/>
    <w:uiPriority w:val="37"/>
    <w:unhideWhenUsed/>
    <w:rsid w:val="007B5B60"/>
    <w:pPr>
      <w:tabs>
        <w:tab w:val="left" w:pos="380"/>
      </w:tabs>
      <w:spacing w:after="240"/>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2404">
      <w:bodyDiv w:val="1"/>
      <w:marLeft w:val="0"/>
      <w:marRight w:val="0"/>
      <w:marTop w:val="0"/>
      <w:marBottom w:val="0"/>
      <w:divBdr>
        <w:top w:val="none" w:sz="0" w:space="0" w:color="auto"/>
        <w:left w:val="none" w:sz="0" w:space="0" w:color="auto"/>
        <w:bottom w:val="none" w:sz="0" w:space="0" w:color="auto"/>
        <w:right w:val="none" w:sz="0" w:space="0" w:color="auto"/>
      </w:divBdr>
      <w:divsChild>
        <w:div w:id="2085251283">
          <w:marLeft w:val="0"/>
          <w:marRight w:val="0"/>
          <w:marTop w:val="0"/>
          <w:marBottom w:val="0"/>
          <w:divBdr>
            <w:top w:val="none" w:sz="0" w:space="0" w:color="auto"/>
            <w:left w:val="none" w:sz="0" w:space="0" w:color="auto"/>
            <w:bottom w:val="none" w:sz="0" w:space="0" w:color="auto"/>
            <w:right w:val="none" w:sz="0" w:space="0" w:color="auto"/>
          </w:divBdr>
          <w:divsChild>
            <w:div w:id="1398430436">
              <w:marLeft w:val="0"/>
              <w:marRight w:val="0"/>
              <w:marTop w:val="0"/>
              <w:marBottom w:val="0"/>
              <w:divBdr>
                <w:top w:val="none" w:sz="0" w:space="0" w:color="auto"/>
                <w:left w:val="none" w:sz="0" w:space="0" w:color="auto"/>
                <w:bottom w:val="none" w:sz="0" w:space="0" w:color="auto"/>
                <w:right w:val="none" w:sz="0" w:space="0" w:color="auto"/>
              </w:divBdr>
              <w:divsChild>
                <w:div w:id="6152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352393">
      <w:bodyDiv w:val="1"/>
      <w:marLeft w:val="0"/>
      <w:marRight w:val="0"/>
      <w:marTop w:val="0"/>
      <w:marBottom w:val="0"/>
      <w:divBdr>
        <w:top w:val="none" w:sz="0" w:space="0" w:color="auto"/>
        <w:left w:val="none" w:sz="0" w:space="0" w:color="auto"/>
        <w:bottom w:val="none" w:sz="0" w:space="0" w:color="auto"/>
        <w:right w:val="none" w:sz="0" w:space="0" w:color="auto"/>
      </w:divBdr>
    </w:div>
    <w:div w:id="326790630">
      <w:bodyDiv w:val="1"/>
      <w:marLeft w:val="0"/>
      <w:marRight w:val="0"/>
      <w:marTop w:val="0"/>
      <w:marBottom w:val="0"/>
      <w:divBdr>
        <w:top w:val="none" w:sz="0" w:space="0" w:color="auto"/>
        <w:left w:val="none" w:sz="0" w:space="0" w:color="auto"/>
        <w:bottom w:val="none" w:sz="0" w:space="0" w:color="auto"/>
        <w:right w:val="none" w:sz="0" w:space="0" w:color="auto"/>
      </w:divBdr>
    </w:div>
    <w:div w:id="963847603">
      <w:bodyDiv w:val="1"/>
      <w:marLeft w:val="0"/>
      <w:marRight w:val="0"/>
      <w:marTop w:val="0"/>
      <w:marBottom w:val="0"/>
      <w:divBdr>
        <w:top w:val="none" w:sz="0" w:space="0" w:color="auto"/>
        <w:left w:val="none" w:sz="0" w:space="0" w:color="auto"/>
        <w:bottom w:val="none" w:sz="0" w:space="0" w:color="auto"/>
        <w:right w:val="none" w:sz="0" w:space="0" w:color="auto"/>
      </w:divBdr>
    </w:div>
    <w:div w:id="1177188153">
      <w:bodyDiv w:val="1"/>
      <w:marLeft w:val="0"/>
      <w:marRight w:val="0"/>
      <w:marTop w:val="0"/>
      <w:marBottom w:val="0"/>
      <w:divBdr>
        <w:top w:val="none" w:sz="0" w:space="0" w:color="auto"/>
        <w:left w:val="none" w:sz="0" w:space="0" w:color="auto"/>
        <w:bottom w:val="none" w:sz="0" w:space="0" w:color="auto"/>
        <w:right w:val="none" w:sz="0" w:space="0" w:color="auto"/>
      </w:divBdr>
    </w:div>
    <w:div w:id="2005354005">
      <w:bodyDiv w:val="1"/>
      <w:marLeft w:val="0"/>
      <w:marRight w:val="0"/>
      <w:marTop w:val="0"/>
      <w:marBottom w:val="0"/>
      <w:divBdr>
        <w:top w:val="none" w:sz="0" w:space="0" w:color="auto"/>
        <w:left w:val="none" w:sz="0" w:space="0" w:color="auto"/>
        <w:bottom w:val="none" w:sz="0" w:space="0" w:color="auto"/>
        <w:right w:val="none" w:sz="0" w:space="0" w:color="auto"/>
      </w:divBdr>
      <w:divsChild>
        <w:div w:id="1074350575">
          <w:marLeft w:val="0"/>
          <w:marRight w:val="0"/>
          <w:marTop w:val="0"/>
          <w:marBottom w:val="0"/>
          <w:divBdr>
            <w:top w:val="none" w:sz="0" w:space="0" w:color="auto"/>
            <w:left w:val="none" w:sz="0" w:space="0" w:color="auto"/>
            <w:bottom w:val="none" w:sz="0" w:space="0" w:color="auto"/>
            <w:right w:val="none" w:sz="0" w:space="0" w:color="auto"/>
          </w:divBdr>
          <w:divsChild>
            <w:div w:id="1252548716">
              <w:marLeft w:val="0"/>
              <w:marRight w:val="0"/>
              <w:marTop w:val="0"/>
              <w:marBottom w:val="0"/>
              <w:divBdr>
                <w:top w:val="none" w:sz="0" w:space="0" w:color="auto"/>
                <w:left w:val="none" w:sz="0" w:space="0" w:color="auto"/>
                <w:bottom w:val="none" w:sz="0" w:space="0" w:color="auto"/>
                <w:right w:val="none" w:sz="0" w:space="0" w:color="auto"/>
              </w:divBdr>
              <w:divsChild>
                <w:div w:id="69858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7B0F9CAC9D8242A80B9B2B38F69D0D" ma:contentTypeVersion="11" ma:contentTypeDescription="Create a new document." ma:contentTypeScope="" ma:versionID="63a42cbcfbab75fe2211065242575614">
  <xsd:schema xmlns:xsd="http://www.w3.org/2001/XMLSchema" xmlns:xs="http://www.w3.org/2001/XMLSchema" xmlns:p="http://schemas.microsoft.com/office/2006/metadata/properties" xmlns:ns3="b73d7e88-5fca-4bc7-8c15-17afa20ac46c" xmlns:ns4="69d41ba9-e8e0-4f47-b574-3308d1a1fff4" targetNamespace="http://schemas.microsoft.com/office/2006/metadata/properties" ma:root="true" ma:fieldsID="3b235349f96af30b6d37d01208cd5a5f" ns3:_="" ns4:_="">
    <xsd:import namespace="b73d7e88-5fca-4bc7-8c15-17afa20ac46c"/>
    <xsd:import namespace="69d41ba9-e8e0-4f47-b574-3308d1a1fff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d7e88-5fca-4bc7-8c15-17afa20ac46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d41ba9-e8e0-4f47-b574-3308d1a1fff4"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7DF6FF-E466-45D3-98A3-734911EC28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67CD51-35B0-4EEA-998F-07023BFE525C}">
  <ds:schemaRefs>
    <ds:schemaRef ds:uri="http://schemas.microsoft.com/sharepoint/v3/contenttype/forms"/>
  </ds:schemaRefs>
</ds:datastoreItem>
</file>

<file path=customXml/itemProps3.xml><?xml version="1.0" encoding="utf-8"?>
<ds:datastoreItem xmlns:ds="http://schemas.openxmlformats.org/officeDocument/2006/customXml" ds:itemID="{176C0ABD-650C-45AE-A768-4FDEE0124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d7e88-5fca-4bc7-8c15-17afa20ac46c"/>
    <ds:schemaRef ds:uri="69d41ba9-e8e0-4f47-b574-3308d1a1ff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2712</Words>
  <Characters>14841</Characters>
  <Application>Microsoft Office Word</Application>
  <DocSecurity>0</DocSecurity>
  <Lines>781</Lines>
  <Paragraphs>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Juan Pablo Saa</cp:lastModifiedBy>
  <cp:revision>63</cp:revision>
  <dcterms:created xsi:type="dcterms:W3CDTF">2019-08-09T03:55:00Z</dcterms:created>
  <dcterms:modified xsi:type="dcterms:W3CDTF">2019-08-12T16:07:00Z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0x010100C97B0F9CAC9D8242A80B9B2B38F69D0D</vt:lpwstr>
  </property>
  <property fmtid="{D5CDD505-2E9C-101B-9397-08002B2CF9AE}" pid="3" name="ZOTERO_PREF_1">
    <vt:lpwstr>&lt;data data-version="3" zotero-version="5.0.71"&gt;&lt;session id="2ixO4qhl"/&gt;&lt;style id="http://www.zotero.org/styles/plos-one" hasBibliography="1" bibliographyStyleHasBeenSet="1"/&gt;&lt;prefs&gt;&lt;pref name="fieldType" value="Field"/&gt;&lt;pref name="automaticJournalAbbrevia</vt:lpwstr>
  </property>
  <property fmtid="{D5CDD505-2E9C-101B-9397-08002B2CF9AE}" pid="4" name="ZOTERO_PREF_2">
    <vt:lpwstr>tions" value="true"/&gt;&lt;/prefs&gt;&lt;/data&gt;</vt:lpwstr>
  </property>
</Properties>
</file>