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5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80"/>
        <w:gridCol w:w="1440"/>
        <w:gridCol w:w="1620"/>
        <w:gridCol w:w="3510"/>
      </w:tblGrid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9450" w:type="dxa"/>
            <w:gridSpan w:val="4"/>
            <w:tcBorders>
              <w:bottom w:val="single" w:sz="4" w:space="0" w:color="auto"/>
            </w:tcBorders>
          </w:tcPr>
          <w:p w:rsidR="00506934" w:rsidRPr="004A0616" w:rsidRDefault="00506934" w:rsidP="000F6D5E">
            <w:pPr>
              <w:keepNext/>
              <w:autoSpaceDE w:val="0"/>
              <w:autoSpaceDN w:val="0"/>
              <w:adjustRightInd w:val="0"/>
              <w:snapToGri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A0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Supplementary Table </w:t>
            </w:r>
            <w:r w:rsidR="008475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A06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A06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4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The odds of having a ALT flare were compared between participants who were anti-HEV positive and those who were anti-HEV </w:t>
            </w:r>
            <w:bookmarkStart w:id="0" w:name="_GoBack"/>
            <w:bookmarkEnd w:id="0"/>
            <w:r w:rsidRPr="004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negative using conditional logistic regression with propensity score matching for flare cases vs controls, both at-flare and post-flare. </w:t>
            </w:r>
          </w:p>
        </w:tc>
      </w:tr>
      <w:tr w:rsidR="00506934" w:rsidRPr="0097040A" w:rsidTr="00C879C7">
        <w:trPr>
          <w:cantSplit/>
          <w:trHeight w:val="665"/>
          <w:tblHeader/>
          <w:jc w:val="center"/>
        </w:trPr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Cases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Matched Controls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Odds </w:t>
            </w:r>
            <w:proofErr w:type="spellStart"/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Ratio</w:t>
            </w:r>
            <w:r w:rsidRPr="0097040A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perscript"/>
                <w:lang w:eastAsia="zh-CN"/>
              </w:rPr>
              <w:t>c</w:t>
            </w:r>
            <w:proofErr w:type="spellEnd"/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(95%CI)</w:t>
            </w:r>
            <w:r w:rsidRPr="0097040A">
              <w:rPr>
                <w:rFonts w:eastAsia="Times New Roman" w:cs="Arial"/>
                <w:sz w:val="24"/>
                <w:szCs w:val="24"/>
                <w:vertAlign w:val="superscript"/>
                <w:lang w:eastAsia="zh-CN"/>
              </w:rPr>
              <w:t>d</w:t>
            </w: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At-flare samples </w:t>
            </w:r>
            <w:r w:rsidRPr="0097040A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perscript"/>
                <w:lang w:eastAsia="zh-CN"/>
              </w:rPr>
              <w:t>a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n=72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n=288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      Anti-HEV</w:t>
            </w: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>, n(%)</w:t>
            </w:r>
          </w:p>
        </w:tc>
        <w:tc>
          <w:tcPr>
            <w:tcW w:w="144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51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       Negative (IgG- and IgM-)</w:t>
            </w:r>
          </w:p>
        </w:tc>
        <w:tc>
          <w:tcPr>
            <w:tcW w:w="144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46 (64%)                  </w:t>
            </w:r>
          </w:p>
        </w:tc>
        <w:tc>
          <w:tcPr>
            <w:tcW w:w="162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186 (65%)                 </w:t>
            </w:r>
          </w:p>
        </w:tc>
        <w:tc>
          <w:tcPr>
            <w:tcW w:w="351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>Reference</w:t>
            </w: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       Positive (IgG+ or IgM+)</w:t>
            </w:r>
          </w:p>
        </w:tc>
        <w:tc>
          <w:tcPr>
            <w:tcW w:w="1440" w:type="dxa"/>
            <w:shd w:val="clear" w:color="auto" w:fill="auto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26 (36%)                  </w:t>
            </w:r>
          </w:p>
        </w:tc>
        <w:tc>
          <w:tcPr>
            <w:tcW w:w="1620" w:type="dxa"/>
            <w:shd w:val="clear" w:color="auto" w:fill="auto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102 (35%)                 </w:t>
            </w:r>
          </w:p>
        </w:tc>
        <w:tc>
          <w:tcPr>
            <w:tcW w:w="3510" w:type="dxa"/>
            <w:shd w:val="clear" w:color="auto" w:fill="auto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>1.3 (0.7, 2.5)</w:t>
            </w: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51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Post-flare samples </w:t>
            </w:r>
            <w:r w:rsidRPr="0097040A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perscript"/>
                <w:lang w:eastAsia="zh-CN"/>
              </w:rPr>
              <w:t>b</w:t>
            </w:r>
          </w:p>
        </w:tc>
        <w:tc>
          <w:tcPr>
            <w:tcW w:w="144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n=51</w:t>
            </w:r>
          </w:p>
        </w:tc>
        <w:tc>
          <w:tcPr>
            <w:tcW w:w="162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n=204</w:t>
            </w:r>
          </w:p>
        </w:tc>
        <w:tc>
          <w:tcPr>
            <w:tcW w:w="351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      Anti-HEV</w:t>
            </w: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>, n(%)</w:t>
            </w:r>
          </w:p>
        </w:tc>
        <w:tc>
          <w:tcPr>
            <w:tcW w:w="144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51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       Negative (IgG- and IgM-)</w:t>
            </w:r>
          </w:p>
        </w:tc>
        <w:tc>
          <w:tcPr>
            <w:tcW w:w="144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1213B4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35 (69%)                </w:t>
            </w:r>
          </w:p>
        </w:tc>
        <w:tc>
          <w:tcPr>
            <w:tcW w:w="162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1213B4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144 (71%)               </w:t>
            </w:r>
          </w:p>
        </w:tc>
        <w:tc>
          <w:tcPr>
            <w:tcW w:w="351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>Reference</w:t>
            </w:r>
          </w:p>
        </w:tc>
      </w:tr>
      <w:tr w:rsidR="00506934" w:rsidRPr="0097040A" w:rsidTr="00C879C7">
        <w:trPr>
          <w:cantSplit/>
          <w:trHeight w:val="20"/>
          <w:tblHeader/>
          <w:jc w:val="center"/>
        </w:trPr>
        <w:tc>
          <w:tcPr>
            <w:tcW w:w="2880" w:type="dxa"/>
            <w:vAlign w:val="center"/>
          </w:tcPr>
          <w:p w:rsidR="00506934" w:rsidRPr="0097040A" w:rsidRDefault="00506934" w:rsidP="00C879C7">
            <w:pPr>
              <w:autoSpaceDE w:val="0"/>
              <w:autoSpaceDN w:val="0"/>
              <w:adjustRightInd w:val="0"/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       Positive (IgG+ or IgM+)</w:t>
            </w:r>
          </w:p>
        </w:tc>
        <w:tc>
          <w:tcPr>
            <w:tcW w:w="144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1213B4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16 (31%)                </w:t>
            </w:r>
          </w:p>
        </w:tc>
        <w:tc>
          <w:tcPr>
            <w:tcW w:w="162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 w:rsidRPr="001213B4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60 (29%)                </w:t>
            </w:r>
          </w:p>
        </w:tc>
        <w:tc>
          <w:tcPr>
            <w:tcW w:w="3510" w:type="dxa"/>
          </w:tcPr>
          <w:p w:rsidR="00506934" w:rsidRPr="0097040A" w:rsidRDefault="00506934" w:rsidP="00C879C7">
            <w:pPr>
              <w:keepNext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>1.2</w:t>
            </w:r>
            <w:r w:rsidRPr="001213B4">
              <w:rPr>
                <w:rFonts w:eastAsia="Times New Roman" w:cs="Times New Roman"/>
                <w:color w:val="000000"/>
                <w:sz w:val="24"/>
                <w:szCs w:val="24"/>
                <w:lang w:eastAsia="zh-CN"/>
              </w:rPr>
              <w:t xml:space="preserve"> (0.6, 2.6)</w:t>
            </w:r>
          </w:p>
        </w:tc>
      </w:tr>
      <w:tr w:rsidR="00506934" w:rsidRPr="0097040A" w:rsidTr="00C879C7">
        <w:trPr>
          <w:cantSplit/>
          <w:trHeight w:val="422"/>
          <w:jc w:val="center"/>
        </w:trPr>
        <w:tc>
          <w:tcPr>
            <w:tcW w:w="9450" w:type="dxa"/>
            <w:gridSpan w:val="4"/>
            <w:tcBorders>
              <w:top w:val="single" w:sz="4" w:space="0" w:color="auto"/>
            </w:tcBorders>
          </w:tcPr>
          <w:p w:rsidR="00506934" w:rsidRPr="0097040A" w:rsidRDefault="00506934" w:rsidP="00C879C7">
            <w:pPr>
              <w:widowControl w:val="0"/>
              <w:spacing w:after="0"/>
              <w:rPr>
                <w:sz w:val="24"/>
                <w:szCs w:val="24"/>
              </w:rPr>
            </w:pPr>
            <w:proofErr w:type="spellStart"/>
            <w:r w:rsidRPr="0097040A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perscript"/>
                <w:lang w:eastAsia="zh-CN"/>
              </w:rPr>
              <w:t>a</w:t>
            </w:r>
            <w:proofErr w:type="spellEnd"/>
            <w:r w:rsidRPr="0097040A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 xml:space="preserve">At-flare samples: cases and controls were matched by propensity scores accounting for sex, age, place of birth, and </w:t>
            </w:r>
            <w:proofErr w:type="spellStart"/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>HBeAg</w:t>
            </w:r>
            <w:proofErr w:type="spellEnd"/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 xml:space="preserve"> status.</w:t>
            </w:r>
          </w:p>
          <w:p w:rsidR="00506934" w:rsidRPr="0097040A" w:rsidRDefault="00506934" w:rsidP="00C879C7">
            <w:pPr>
              <w:spacing w:after="0"/>
              <w:rPr>
                <w:rFonts w:eastAsia="Times New Roman" w:cs="Arial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perscript"/>
                <w:lang w:eastAsia="zh-CN"/>
              </w:rPr>
              <w:t>b</w:t>
            </w:r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 xml:space="preserve"> Post-flare samples: cases and controls were matched by propensity scores accounting for sex, age, place of birth, </w:t>
            </w:r>
            <w:proofErr w:type="spellStart"/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>HBeAg</w:t>
            </w:r>
            <w:proofErr w:type="spellEnd"/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 xml:space="preserve"> status, and time </w:t>
            </w:r>
            <w:r>
              <w:rPr>
                <w:rFonts w:eastAsia="Times New Roman" w:cs="Arial"/>
                <w:sz w:val="24"/>
                <w:szCs w:val="24"/>
                <w:lang w:eastAsia="zh-CN"/>
              </w:rPr>
              <w:t>between</w:t>
            </w:r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 xml:space="preserve"> samples.</w:t>
            </w:r>
          </w:p>
          <w:p w:rsidR="00506934" w:rsidRPr="0097040A" w:rsidRDefault="00506934" w:rsidP="00C879C7">
            <w:pPr>
              <w:adjustRightInd w:val="0"/>
              <w:snapToGrid w:val="0"/>
              <w:spacing w:after="0"/>
              <w:rPr>
                <w:rFonts w:eastAsia="Times New Roman" w:cs="Arial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Arial"/>
                <w:sz w:val="24"/>
                <w:szCs w:val="24"/>
                <w:vertAlign w:val="superscript"/>
                <w:lang w:eastAsia="zh-CN"/>
              </w:rPr>
              <w:t xml:space="preserve">c </w:t>
            </w:r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 xml:space="preserve">The odds ratio (OR) of ALT flare associated with seroprevalence of anti-HEV were estimated by conditional logistic regression models. </w:t>
            </w:r>
          </w:p>
          <w:p w:rsidR="00506934" w:rsidRPr="0097040A" w:rsidRDefault="00506934" w:rsidP="00C879C7">
            <w:pPr>
              <w:adjustRightInd w:val="0"/>
              <w:snapToGrid w:val="0"/>
              <w:spacing w:after="0"/>
              <w:rPr>
                <w:rFonts w:eastAsia="Times New Roman" w:cs="Arial"/>
                <w:sz w:val="24"/>
                <w:szCs w:val="24"/>
                <w:lang w:eastAsia="zh-CN"/>
              </w:rPr>
            </w:pPr>
            <w:r w:rsidRPr="0097040A">
              <w:rPr>
                <w:rFonts w:eastAsia="Times New Roman" w:cs="Arial"/>
                <w:sz w:val="24"/>
                <w:szCs w:val="24"/>
                <w:vertAlign w:val="superscript"/>
                <w:lang w:eastAsia="zh-CN"/>
              </w:rPr>
              <w:t xml:space="preserve">d </w:t>
            </w:r>
            <w:r w:rsidRPr="0097040A">
              <w:rPr>
                <w:rFonts w:eastAsia="Times New Roman" w:cs="Arial"/>
                <w:sz w:val="24"/>
                <w:szCs w:val="24"/>
                <w:lang w:eastAsia="zh-CN"/>
              </w:rPr>
              <w:t>If 95% confidence interval (CI) includes 1, there is no statistically significant difference between the group and the reference group.</w:t>
            </w:r>
          </w:p>
        </w:tc>
      </w:tr>
    </w:tbl>
    <w:p w:rsidR="00C57AC0" w:rsidRDefault="00C57AC0"/>
    <w:sectPr w:rsidR="00C57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MrQwMDIDAnNzCyUdpeDU4uLM/DyQAsNaABv8+r4sAAAA"/>
  </w:docVars>
  <w:rsids>
    <w:rsidRoot w:val="00506934"/>
    <w:rsid w:val="000F6D5E"/>
    <w:rsid w:val="00383FC6"/>
    <w:rsid w:val="004A0616"/>
    <w:rsid w:val="00506934"/>
    <w:rsid w:val="0084753B"/>
    <w:rsid w:val="00C5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0A2FFD-53E5-47FA-B4F1-D118E92F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6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McGivern, David</cp:lastModifiedBy>
  <cp:revision>2</cp:revision>
  <dcterms:created xsi:type="dcterms:W3CDTF">2019-04-23T20:56:00Z</dcterms:created>
  <dcterms:modified xsi:type="dcterms:W3CDTF">2019-04-23T20:56:00Z</dcterms:modified>
</cp:coreProperties>
</file>