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50F" w:rsidRPr="0012650F" w:rsidRDefault="0012650F" w:rsidP="0012650F">
      <w:pPr>
        <w:jc w:val="left"/>
        <w:rPr>
          <w:rFonts w:ascii="Arial" w:eastAsiaTheme="minorHAnsi" w:hAnsi="Arial" w:cs="Arial"/>
          <w:b/>
          <w:noProof/>
          <w:sz w:val="24"/>
          <w:szCs w:val="24"/>
        </w:rPr>
      </w:pPr>
      <w:r w:rsidRPr="0012650F">
        <w:rPr>
          <w:rFonts w:ascii="Arial" w:eastAsiaTheme="minorHAnsi" w:hAnsi="Arial" w:cs="Arial"/>
          <w:b/>
          <w:noProof/>
          <w:sz w:val="24"/>
          <w:szCs w:val="24"/>
        </w:rPr>
        <w:t>Supplemental Figure</w:t>
      </w:r>
    </w:p>
    <w:p w:rsidR="0012650F" w:rsidRDefault="0012650F">
      <w:r>
        <w:rPr>
          <w:rFonts w:ascii="Arial" w:hAnsi="Arial" w:cs="Arial"/>
          <w:noProof/>
          <w:sz w:val="24"/>
          <w:szCs w:val="24"/>
        </w:rPr>
        <w:drawing>
          <wp:anchor distT="0" distB="0" distL="114300" distR="114300" simplePos="0" relativeHeight="251659264" behindDoc="0" locked="0" layoutInCell="1" allowOverlap="1" wp14:anchorId="623B63BB" wp14:editId="1B6DE5B0">
            <wp:simplePos x="0" y="0"/>
            <wp:positionH relativeFrom="column">
              <wp:posOffset>-342900</wp:posOffset>
            </wp:positionH>
            <wp:positionV relativeFrom="paragraph">
              <wp:posOffset>276225</wp:posOffset>
            </wp:positionV>
            <wp:extent cx="6311900" cy="2214880"/>
            <wp:effectExtent l="0" t="0" r="0" b="0"/>
            <wp:wrapTight wrapText="bothSides">
              <wp:wrapPolygon edited="0">
                <wp:start x="2803" y="372"/>
                <wp:lineTo x="1043" y="743"/>
                <wp:lineTo x="65" y="1858"/>
                <wp:lineTo x="130" y="3716"/>
                <wp:lineTo x="1108" y="6688"/>
                <wp:lineTo x="1173" y="10961"/>
                <wp:lineTo x="1499" y="12633"/>
                <wp:lineTo x="1760" y="12633"/>
                <wp:lineTo x="1304" y="14305"/>
                <wp:lineTo x="1304" y="14862"/>
                <wp:lineTo x="1760" y="15606"/>
                <wp:lineTo x="1369" y="17092"/>
                <wp:lineTo x="1369" y="18206"/>
                <wp:lineTo x="1760" y="18578"/>
                <wp:lineTo x="1760" y="21365"/>
                <wp:lineTo x="21513" y="21365"/>
                <wp:lineTo x="21513" y="4459"/>
                <wp:lineTo x="8149" y="3716"/>
                <wp:lineTo x="7497" y="372"/>
                <wp:lineTo x="2803" y="372"/>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a:picLocks noChangeAspect="1"/>
                    </pic:cNvPicPr>
                  </pic:nvPicPr>
                  <pic:blipFill rotWithShape="1">
                    <a:blip r:embed="rId6">
                      <a:extLst>
                        <a:ext uri="{28A0092B-C50C-407E-A947-70E740481C1C}">
                          <a14:useLocalDpi xmlns:a14="http://schemas.microsoft.com/office/drawing/2010/main" val="0"/>
                        </a:ext>
                      </a:extLst>
                    </a:blip>
                    <a:srcRect t="10404"/>
                    <a:stretch/>
                  </pic:blipFill>
                  <pic:spPr bwMode="auto">
                    <a:xfrm>
                      <a:off x="0" y="0"/>
                      <a:ext cx="6311900" cy="221488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12650F" w:rsidRPr="0012650F" w:rsidRDefault="0012650F" w:rsidP="0012650F"/>
    <w:p w:rsidR="0012650F" w:rsidRPr="0012650F" w:rsidRDefault="0012650F" w:rsidP="0012650F">
      <w:r w:rsidRPr="0012650F">
        <w:rPr>
          <w:rFonts w:ascii="Arial" w:eastAsiaTheme="minorHAnsi" w:hAnsi="Arial" w:cs="Arial"/>
          <w:noProof/>
          <w:sz w:val="24"/>
          <w:szCs w:val="24"/>
        </w:rPr>
        <mc:AlternateContent>
          <mc:Choice Requires="wps">
            <w:drawing>
              <wp:anchor distT="0" distB="0" distL="114300" distR="114300" simplePos="0" relativeHeight="251661312" behindDoc="0" locked="0" layoutInCell="1" allowOverlap="1" wp14:anchorId="2931BAC7" wp14:editId="73D734B0">
                <wp:simplePos x="0" y="0"/>
                <wp:positionH relativeFrom="column">
                  <wp:posOffset>26035</wp:posOffset>
                </wp:positionH>
                <wp:positionV relativeFrom="paragraph">
                  <wp:posOffset>2120900</wp:posOffset>
                </wp:positionV>
                <wp:extent cx="5942965" cy="1057275"/>
                <wp:effectExtent l="0" t="0" r="635" b="9525"/>
                <wp:wrapNone/>
                <wp:docPr id="31" name="Text Box 31"/>
                <wp:cNvGraphicFramePr/>
                <a:graphic xmlns:a="http://schemas.openxmlformats.org/drawingml/2006/main">
                  <a:graphicData uri="http://schemas.microsoft.com/office/word/2010/wordprocessingShape">
                    <wps:wsp>
                      <wps:cNvSpPr txBox="1"/>
                      <wps:spPr>
                        <a:xfrm>
                          <a:off x="0" y="0"/>
                          <a:ext cx="5942965" cy="1057275"/>
                        </a:xfrm>
                        <a:prstGeom prst="rect">
                          <a:avLst/>
                        </a:prstGeom>
                        <a:solidFill>
                          <a:sysClr val="window" lastClr="FFFFFF"/>
                        </a:solidFill>
                        <a:ln w="6350">
                          <a:noFill/>
                        </a:ln>
                      </wps:spPr>
                      <wps:txbx>
                        <w:txbxContent>
                          <w:p w:rsidR="0012650F" w:rsidRPr="0012650F" w:rsidRDefault="0012650F" w:rsidP="0012650F">
                            <w:pPr>
                              <w:rPr>
                                <w:rFonts w:ascii="Arial" w:hAnsi="Arial" w:cs="Arial"/>
                                <w:sz w:val="22"/>
                                <w:szCs w:val="22"/>
                              </w:rPr>
                            </w:pPr>
                            <w:r w:rsidRPr="0012650F">
                              <w:rPr>
                                <w:rFonts w:ascii="Arial" w:hAnsi="Arial" w:cs="Arial"/>
                                <w:b/>
                                <w:sz w:val="22"/>
                                <w:szCs w:val="22"/>
                              </w:rPr>
                              <w:t xml:space="preserve">Figure 1S. Functional evaluation of D403N with MCP using 25 mM salt buffer. </w:t>
                            </w:r>
                            <w:r w:rsidRPr="0012650F">
                              <w:rPr>
                                <w:rFonts w:ascii="Arial" w:hAnsi="Arial" w:cs="Arial"/>
                                <w:sz w:val="22"/>
                                <w:szCs w:val="22"/>
                              </w:rPr>
                              <w:t>These were</w:t>
                            </w:r>
                            <w:r>
                              <w:rPr>
                                <w:rFonts w:ascii="Arial" w:hAnsi="Arial" w:cs="Arial"/>
                                <w:sz w:val="22"/>
                                <w:szCs w:val="22"/>
                              </w:rPr>
                              <w:t xml:space="preserve"> </w:t>
                            </w:r>
                            <w:r w:rsidRPr="0012650F">
                              <w:rPr>
                                <w:rFonts w:ascii="Arial" w:hAnsi="Arial" w:cs="Arial"/>
                                <w:sz w:val="22"/>
                                <w:szCs w:val="22"/>
                              </w:rPr>
                              <w:t>performed to enhance the visualization of α43 and α41 fragments. Kinetic analysis of cofactor activity assessed by cleavage of C3b to iC3b. Cleavage rate measured by the ratio of αʹ chain loss versus the constant β chain. Representative blot and densitometric quantification of functional evaluation.</w:t>
                            </w:r>
                          </w:p>
                          <w:p w:rsidR="0012650F" w:rsidRPr="0012650F" w:rsidRDefault="0012650F" w:rsidP="0012650F">
                            <w:pPr>
                              <w:rPr>
                                <w:rFonts w:ascii="Arial" w:hAnsi="Arial"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31BAC7" id="_x0000_t202" coordsize="21600,21600" o:spt="202" path="m,l,21600r21600,l21600,xe">
                <v:stroke joinstyle="miter"/>
                <v:path gradientshapeok="t" o:connecttype="rect"/>
              </v:shapetype>
              <v:shape id="Text Box 31" o:spid="_x0000_s1026" type="#_x0000_t202" style="position:absolute;left:0;text-align:left;margin-left:2.05pt;margin-top:167pt;width:467.95pt;height:8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" fillcolor="window" stroked="f" strokeweight=".5pt">
                <v:textbox>
                  <w:txbxContent>
                    <w:p w:rsidR="0012650F" w:rsidRPr="0012650F" w:rsidRDefault="0012650F" w:rsidP="0012650F">
                      <w:pPr>
                        <w:rPr>
                          <w:rFonts w:ascii="Arial" w:hAnsi="Arial" w:cs="Arial"/>
                          <w:sz w:val="22"/>
                          <w:szCs w:val="22"/>
                        </w:rPr>
                      </w:pPr>
                      <w:r w:rsidRPr="0012650F">
                        <w:rPr>
                          <w:rFonts w:ascii="Arial" w:hAnsi="Arial" w:cs="Arial"/>
                          <w:b/>
                          <w:sz w:val="22"/>
                          <w:szCs w:val="22"/>
                        </w:rPr>
                        <w:t xml:space="preserve">Figure 1S. Functional evaluation of D403N with MCP using 25 mM salt buffer. </w:t>
                      </w:r>
                      <w:r w:rsidRPr="0012650F">
                        <w:rPr>
                          <w:rFonts w:ascii="Arial" w:hAnsi="Arial" w:cs="Arial"/>
                          <w:sz w:val="22"/>
                          <w:szCs w:val="22"/>
                        </w:rPr>
                        <w:t>These were</w:t>
                      </w:r>
                      <w:r>
                        <w:rPr>
                          <w:rFonts w:ascii="Arial" w:hAnsi="Arial" w:cs="Arial"/>
                          <w:sz w:val="22"/>
                          <w:szCs w:val="22"/>
                        </w:rPr>
                        <w:t xml:space="preserve"> </w:t>
                      </w:r>
                      <w:bookmarkStart w:id="1" w:name="_GoBack"/>
                      <w:bookmarkEnd w:id="1"/>
                      <w:r w:rsidRPr="0012650F">
                        <w:rPr>
                          <w:rFonts w:ascii="Arial" w:hAnsi="Arial" w:cs="Arial"/>
                          <w:sz w:val="22"/>
                          <w:szCs w:val="22"/>
                        </w:rPr>
                        <w:t>performed to enhance the visualization of α43 and α41 fragments. Kinetic analysis of cofactor activity assessed by cleavage of C3b to iC3b. Cleavage rate measured by the ratio of αʹ chain loss versus the constant β chain. Representative blot and densitometric quantification of functional evaluation.</w:t>
                      </w:r>
                    </w:p>
                    <w:p w:rsidR="0012650F" w:rsidRPr="0012650F" w:rsidRDefault="0012650F" w:rsidP="0012650F">
                      <w:pPr>
                        <w:rPr>
                          <w:rFonts w:ascii="Arial" w:hAnsi="Arial" w:cs="Arial"/>
                          <w:sz w:val="22"/>
                          <w:szCs w:val="22"/>
                        </w:rPr>
                      </w:pPr>
                    </w:p>
                  </w:txbxContent>
                </v:textbox>
              </v:shape>
            </w:pict>
          </mc:Fallback>
        </mc:AlternateContent>
      </w:r>
    </w:p>
    <w:p w:rsidR="0012650F" w:rsidRDefault="0012650F" w:rsidP="0012650F">
      <w:pPr>
        <w:jc w:val="right"/>
      </w:pPr>
    </w:p>
    <w:p w:rsidR="0012650F" w:rsidRDefault="0012650F" w:rsidP="0012650F">
      <w:pPr>
        <w:jc w:val="right"/>
      </w:pPr>
    </w:p>
    <w:p w:rsidR="0012650F" w:rsidRPr="0012650F" w:rsidRDefault="0012650F" w:rsidP="0012650F">
      <w:pPr>
        <w:jc w:val="right"/>
      </w:pPr>
    </w:p>
    <w:p w:rsidR="0012650F" w:rsidRPr="0012650F" w:rsidRDefault="0012650F" w:rsidP="0012650F"/>
    <w:p w:rsidR="0012650F" w:rsidRPr="0012650F" w:rsidRDefault="0012650F" w:rsidP="0012650F"/>
    <w:p w:rsidR="00C50D0E" w:rsidRDefault="00C50D0E">
      <w:pPr>
        <w:jc w:val="left"/>
      </w:pPr>
      <w:bookmarkStart w:id="0" w:name="_GoBack"/>
      <w:bookmarkEnd w:id="0"/>
    </w:p>
    <w:sectPr w:rsidR="00C50D0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5DE" w:rsidRDefault="00F935DE" w:rsidP="00620534">
      <w:pPr>
        <w:spacing w:after="0" w:line="240" w:lineRule="auto"/>
      </w:pPr>
      <w:r>
        <w:separator/>
      </w:r>
    </w:p>
  </w:endnote>
  <w:endnote w:type="continuationSeparator" w:id="0">
    <w:p w:rsidR="00F935DE" w:rsidRDefault="00F935DE" w:rsidP="00620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551977"/>
      <w:docPartObj>
        <w:docPartGallery w:val="Page Numbers (Bottom of Page)"/>
        <w:docPartUnique/>
      </w:docPartObj>
    </w:sdtPr>
    <w:sdtEndPr>
      <w:rPr>
        <w:noProof/>
      </w:rPr>
    </w:sdtEndPr>
    <w:sdtContent>
      <w:p w:rsidR="00620534" w:rsidRDefault="00620534">
        <w:pPr>
          <w:pStyle w:val="Footer"/>
          <w:jc w:val="center"/>
        </w:pPr>
        <w:r>
          <w:fldChar w:fldCharType="begin"/>
        </w:r>
        <w:r>
          <w:instrText xml:space="preserve"> PAGE   \* MERGEFORMAT </w:instrText>
        </w:r>
        <w:r>
          <w:fldChar w:fldCharType="separate"/>
        </w:r>
        <w:r w:rsidR="00C50D0E">
          <w:rPr>
            <w:noProof/>
          </w:rPr>
          <w:t>6</w:t>
        </w:r>
        <w:r>
          <w:rPr>
            <w:noProof/>
          </w:rPr>
          <w:fldChar w:fldCharType="end"/>
        </w:r>
      </w:p>
    </w:sdtContent>
  </w:sdt>
  <w:p w:rsidR="00620534" w:rsidRDefault="006205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5DE" w:rsidRDefault="00F935DE" w:rsidP="00620534">
      <w:pPr>
        <w:spacing w:after="0" w:line="240" w:lineRule="auto"/>
      </w:pPr>
      <w:r>
        <w:separator/>
      </w:r>
    </w:p>
  </w:footnote>
  <w:footnote w:type="continuationSeparator" w:id="0">
    <w:p w:rsidR="00F935DE" w:rsidRDefault="00F935DE" w:rsidP="00620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161"/>
    <w:rsid w:val="000D581C"/>
    <w:rsid w:val="0012650F"/>
    <w:rsid w:val="001A1244"/>
    <w:rsid w:val="002A153D"/>
    <w:rsid w:val="00393CB5"/>
    <w:rsid w:val="003C3A66"/>
    <w:rsid w:val="005C10A0"/>
    <w:rsid w:val="00620534"/>
    <w:rsid w:val="006B32BE"/>
    <w:rsid w:val="006D7FA5"/>
    <w:rsid w:val="00717024"/>
    <w:rsid w:val="00782924"/>
    <w:rsid w:val="00804713"/>
    <w:rsid w:val="00B5031A"/>
    <w:rsid w:val="00C50D0E"/>
    <w:rsid w:val="00DD2C9D"/>
    <w:rsid w:val="00E46C51"/>
    <w:rsid w:val="00E80161"/>
    <w:rsid w:val="00F935DE"/>
    <w:rsid w:val="00FB3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C4895"/>
  <w15:chartTrackingRefBased/>
  <w15:docId w15:val="{F1FAB6B4-9C99-4A78-A7DE-095BE827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0161"/>
    <w:pPr>
      <w:jc w:val="both"/>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0161"/>
    <w:rPr>
      <w:color w:val="0000FF" w:themeColor="hyperlink"/>
      <w:u w:val="single"/>
    </w:rPr>
  </w:style>
  <w:style w:type="paragraph" w:styleId="Header">
    <w:name w:val="header"/>
    <w:basedOn w:val="Normal"/>
    <w:link w:val="HeaderChar"/>
    <w:uiPriority w:val="99"/>
    <w:unhideWhenUsed/>
    <w:rsid w:val="006205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534"/>
    <w:rPr>
      <w:rFonts w:eastAsiaTheme="minorEastAsia"/>
      <w:sz w:val="20"/>
      <w:szCs w:val="20"/>
    </w:rPr>
  </w:style>
  <w:style w:type="paragraph" w:styleId="Footer">
    <w:name w:val="footer"/>
    <w:basedOn w:val="Normal"/>
    <w:link w:val="FooterChar"/>
    <w:uiPriority w:val="99"/>
    <w:unhideWhenUsed/>
    <w:rsid w:val="006205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534"/>
    <w:rPr>
      <w:rFonts w:eastAsiaTheme="minorEastAsia"/>
      <w:sz w:val="20"/>
      <w:szCs w:val="20"/>
    </w:rPr>
  </w:style>
  <w:style w:type="paragraph" w:styleId="BalloonText">
    <w:name w:val="Balloon Text"/>
    <w:basedOn w:val="Normal"/>
    <w:link w:val="BalloonTextChar"/>
    <w:uiPriority w:val="99"/>
    <w:semiHidden/>
    <w:unhideWhenUsed/>
    <w:rsid w:val="00393C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CB5"/>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Words>
  <Characters>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 Anuja</dc:creator>
  <cp:keywords/>
  <dc:description/>
  <cp:lastModifiedBy>Vairam, Pusha (ELS-CON)</cp:lastModifiedBy>
  <cp:revision>9</cp:revision>
  <cp:lastPrinted>2019-03-09T21:51:00Z</cp:lastPrinted>
  <dcterms:created xsi:type="dcterms:W3CDTF">2019-03-07T23:32:00Z</dcterms:created>
  <dcterms:modified xsi:type="dcterms:W3CDTF">2019-04-03T07:01:00Z</dcterms:modified>
</cp:coreProperties>
</file>