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260" w:rsidRDefault="00196260" w:rsidP="00196260">
      <w:r>
        <w:rPr>
          <w:rFonts w:eastAsia="Times New Roman" w:cs="Arial"/>
          <w:b/>
          <w:bCs/>
          <w:sz w:val="22"/>
          <w:szCs w:val="16"/>
          <w:lang w:eastAsia="zh-CN"/>
        </w:rPr>
        <w:t xml:space="preserve">S9 Table. Change in age-adjusted AUC of Rosner-Colditz model for invasive breast cancer by including PRS, measured MD, and measured circulating hormones </w:t>
      </w:r>
      <w:r>
        <w:rPr>
          <w:rFonts w:eastAsia="Times New Roman" w:cs="Arial"/>
          <w:sz w:val="22"/>
          <w:szCs w:val="16"/>
          <w:lang w:eastAsia="zh-CN"/>
        </w:rPr>
        <w:t> </w:t>
      </w:r>
      <w:r>
        <w:rPr>
          <w:rFonts w:eastAsia="Times New Roman" w:cs="Arial"/>
          <w:b/>
          <w:bCs/>
          <w:sz w:val="22"/>
          <w:szCs w:val="16"/>
          <w:lang w:eastAsia="zh-CN"/>
        </w:rPr>
        <w:t xml:space="preserve">  </w:t>
      </w:r>
      <w:r>
        <w:rPr>
          <w:rFonts w:eastAsia="Times New Roman" w:cs="Arial"/>
          <w:sz w:val="22"/>
          <w:szCs w:val="16"/>
          <w:lang w:eastAsia="zh-CN"/>
        </w:rPr>
        <w:t> </w:t>
      </w:r>
    </w:p>
    <w:tbl>
      <w:tblPr>
        <w:tblStyle w:val="TableGrid"/>
        <w:tblW w:w="4746" w:type="pct"/>
        <w:tblInd w:w="0" w:type="dxa"/>
        <w:tblBorders>
          <w:left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3438"/>
        <w:gridCol w:w="1231"/>
        <w:gridCol w:w="1446"/>
        <w:gridCol w:w="1446"/>
        <w:gridCol w:w="1324"/>
      </w:tblGrid>
      <w:tr w:rsidR="00196260" w:rsidTr="00196260">
        <w:trPr>
          <w:trHeight w:val="386"/>
        </w:trPr>
        <w:tc>
          <w:tcPr>
            <w:tcW w:w="1934" w:type="pct"/>
            <w:tcBorders>
              <w:top w:val="single" w:sz="4" w:space="0" w:color="auto"/>
              <w:left w:val="nil"/>
              <w:bottom w:val="single" w:sz="4" w:space="0" w:color="auto"/>
              <w:right w:val="nil"/>
            </w:tcBorders>
            <w:shd w:val="clear" w:color="auto" w:fill="FFFFFF" w:themeFill="background1"/>
            <w:vAlign w:val="center"/>
          </w:tcPr>
          <w:p w:rsidR="00196260" w:rsidRDefault="00196260">
            <w:pPr>
              <w:rPr>
                <w:sz w:val="20"/>
                <w:szCs w:val="20"/>
              </w:rPr>
            </w:pPr>
          </w:p>
        </w:tc>
        <w:tc>
          <w:tcPr>
            <w:tcW w:w="693" w:type="pct"/>
            <w:tcBorders>
              <w:top w:val="single" w:sz="4" w:space="0" w:color="auto"/>
              <w:left w:val="nil"/>
              <w:bottom w:val="single" w:sz="4" w:space="0" w:color="auto"/>
              <w:right w:val="nil"/>
            </w:tcBorders>
            <w:shd w:val="clear" w:color="auto" w:fill="FFFFFF" w:themeFill="background1"/>
            <w:vAlign w:val="center"/>
            <w:hideMark/>
          </w:tcPr>
          <w:p w:rsidR="00196260" w:rsidRDefault="00196260">
            <w:pPr>
              <w:rPr>
                <w:b/>
                <w:sz w:val="20"/>
                <w:szCs w:val="20"/>
              </w:rPr>
            </w:pPr>
            <w:r>
              <w:rPr>
                <w:b/>
                <w:sz w:val="20"/>
                <w:szCs w:val="20"/>
              </w:rPr>
              <w:t>No. ca/co</w:t>
            </w:r>
          </w:p>
        </w:tc>
        <w:tc>
          <w:tcPr>
            <w:tcW w:w="814" w:type="pct"/>
            <w:tcBorders>
              <w:top w:val="single" w:sz="4" w:space="0" w:color="auto"/>
              <w:left w:val="nil"/>
              <w:bottom w:val="single" w:sz="4" w:space="0" w:color="auto"/>
              <w:right w:val="nil"/>
            </w:tcBorders>
            <w:shd w:val="clear" w:color="auto" w:fill="FFFFFF" w:themeFill="background1"/>
            <w:vAlign w:val="center"/>
            <w:hideMark/>
          </w:tcPr>
          <w:p w:rsidR="00196260" w:rsidRDefault="00196260">
            <w:pPr>
              <w:rPr>
                <w:b/>
                <w:sz w:val="20"/>
                <w:szCs w:val="20"/>
              </w:rPr>
            </w:pPr>
            <w:r>
              <w:rPr>
                <w:b/>
                <w:sz w:val="20"/>
                <w:szCs w:val="20"/>
              </w:rPr>
              <w:t>Baseline</w:t>
            </w:r>
          </w:p>
          <w:p w:rsidR="00196260" w:rsidRDefault="00196260">
            <w:pPr>
              <w:rPr>
                <w:b/>
                <w:sz w:val="20"/>
                <w:szCs w:val="20"/>
              </w:rPr>
            </w:pPr>
            <w:r>
              <w:rPr>
                <w:b/>
                <w:sz w:val="20"/>
                <w:szCs w:val="20"/>
              </w:rPr>
              <w:t>AUC (95%</w:t>
            </w:r>
            <w:proofErr w:type="gramStart"/>
            <w:r>
              <w:rPr>
                <w:b/>
                <w:sz w:val="20"/>
                <w:szCs w:val="20"/>
              </w:rPr>
              <w:t>CI)*</w:t>
            </w:r>
            <w:proofErr w:type="gramEnd"/>
          </w:p>
        </w:tc>
        <w:tc>
          <w:tcPr>
            <w:tcW w:w="814" w:type="pct"/>
            <w:tcBorders>
              <w:top w:val="single" w:sz="4" w:space="0" w:color="auto"/>
              <w:left w:val="nil"/>
              <w:bottom w:val="single" w:sz="4" w:space="0" w:color="auto"/>
              <w:right w:val="nil"/>
            </w:tcBorders>
            <w:shd w:val="clear" w:color="auto" w:fill="FFFFFF" w:themeFill="background1"/>
            <w:vAlign w:val="center"/>
            <w:hideMark/>
          </w:tcPr>
          <w:p w:rsidR="00196260" w:rsidRDefault="00196260">
            <w:pPr>
              <w:rPr>
                <w:b/>
                <w:sz w:val="20"/>
                <w:szCs w:val="20"/>
              </w:rPr>
            </w:pPr>
            <w:r>
              <w:rPr>
                <w:b/>
                <w:sz w:val="20"/>
                <w:szCs w:val="20"/>
              </w:rPr>
              <w:t>Full model</w:t>
            </w:r>
          </w:p>
          <w:p w:rsidR="00196260" w:rsidRDefault="00196260">
            <w:pPr>
              <w:rPr>
                <w:b/>
                <w:sz w:val="20"/>
                <w:szCs w:val="20"/>
              </w:rPr>
            </w:pPr>
            <w:r>
              <w:rPr>
                <w:b/>
                <w:sz w:val="20"/>
                <w:szCs w:val="20"/>
              </w:rPr>
              <w:t>AUC (95%CI)</w:t>
            </w:r>
          </w:p>
        </w:tc>
        <w:tc>
          <w:tcPr>
            <w:tcW w:w="745" w:type="pct"/>
            <w:tcBorders>
              <w:top w:val="single" w:sz="4" w:space="0" w:color="auto"/>
              <w:left w:val="nil"/>
              <w:bottom w:val="single" w:sz="4" w:space="0" w:color="auto"/>
              <w:right w:val="nil"/>
            </w:tcBorders>
            <w:shd w:val="clear" w:color="auto" w:fill="FFFFFF" w:themeFill="background1"/>
            <w:vAlign w:val="center"/>
            <w:hideMark/>
          </w:tcPr>
          <w:p w:rsidR="00196260" w:rsidRDefault="00196260">
            <w:pPr>
              <w:rPr>
                <w:b/>
                <w:sz w:val="20"/>
                <w:szCs w:val="20"/>
              </w:rPr>
            </w:pPr>
            <w:r>
              <w:rPr>
                <w:b/>
                <w:sz w:val="20"/>
                <w:szCs w:val="20"/>
              </w:rPr>
              <w:t>Change in AUC (95%CI)</w:t>
            </w:r>
          </w:p>
        </w:tc>
      </w:tr>
      <w:tr w:rsidR="00196260" w:rsidTr="00196260">
        <w:tc>
          <w:tcPr>
            <w:tcW w:w="1934" w:type="pct"/>
            <w:tcBorders>
              <w:top w:val="single" w:sz="4" w:space="0" w:color="auto"/>
              <w:left w:val="nil"/>
              <w:bottom w:val="nil"/>
              <w:right w:val="nil"/>
            </w:tcBorders>
            <w:shd w:val="clear" w:color="auto" w:fill="FFFFFF" w:themeFill="background1"/>
            <w:hideMark/>
          </w:tcPr>
          <w:p w:rsidR="00196260" w:rsidRDefault="00196260">
            <w:pPr>
              <w:rPr>
                <w:b/>
                <w:sz w:val="20"/>
                <w:szCs w:val="20"/>
              </w:rPr>
            </w:pPr>
            <w:bookmarkStart w:id="0" w:name="_Hlk504531376"/>
            <w:r>
              <w:rPr>
                <w:b/>
                <w:sz w:val="20"/>
                <w:szCs w:val="20"/>
              </w:rPr>
              <w:t>Premenopausal women</w:t>
            </w:r>
          </w:p>
        </w:tc>
        <w:tc>
          <w:tcPr>
            <w:tcW w:w="693" w:type="pct"/>
            <w:tcBorders>
              <w:top w:val="single" w:sz="4" w:space="0" w:color="auto"/>
              <w:left w:val="nil"/>
              <w:bottom w:val="nil"/>
              <w:right w:val="nil"/>
            </w:tcBorders>
            <w:shd w:val="clear" w:color="auto" w:fill="FFFFFF" w:themeFill="background1"/>
          </w:tcPr>
          <w:p w:rsidR="00196260" w:rsidRDefault="00196260">
            <w:pPr>
              <w:rPr>
                <w:sz w:val="20"/>
                <w:szCs w:val="20"/>
              </w:rPr>
            </w:pPr>
          </w:p>
        </w:tc>
        <w:tc>
          <w:tcPr>
            <w:tcW w:w="814" w:type="pct"/>
            <w:tcBorders>
              <w:top w:val="single" w:sz="4" w:space="0" w:color="auto"/>
              <w:left w:val="nil"/>
              <w:bottom w:val="nil"/>
              <w:right w:val="nil"/>
            </w:tcBorders>
            <w:shd w:val="clear" w:color="auto" w:fill="FFFFFF" w:themeFill="background1"/>
          </w:tcPr>
          <w:p w:rsidR="00196260" w:rsidRDefault="00196260">
            <w:pPr>
              <w:rPr>
                <w:sz w:val="20"/>
                <w:szCs w:val="20"/>
              </w:rPr>
            </w:pPr>
          </w:p>
        </w:tc>
        <w:tc>
          <w:tcPr>
            <w:tcW w:w="814" w:type="pct"/>
            <w:tcBorders>
              <w:top w:val="single" w:sz="4" w:space="0" w:color="auto"/>
              <w:left w:val="nil"/>
              <w:bottom w:val="nil"/>
              <w:right w:val="nil"/>
            </w:tcBorders>
            <w:shd w:val="clear" w:color="auto" w:fill="FFFFFF" w:themeFill="background1"/>
          </w:tcPr>
          <w:p w:rsidR="00196260" w:rsidRDefault="00196260">
            <w:pPr>
              <w:rPr>
                <w:sz w:val="20"/>
                <w:szCs w:val="20"/>
              </w:rPr>
            </w:pPr>
          </w:p>
        </w:tc>
        <w:tc>
          <w:tcPr>
            <w:tcW w:w="745" w:type="pct"/>
            <w:tcBorders>
              <w:top w:val="single" w:sz="4" w:space="0" w:color="auto"/>
              <w:left w:val="nil"/>
              <w:bottom w:val="nil"/>
              <w:right w:val="nil"/>
            </w:tcBorders>
            <w:shd w:val="clear" w:color="auto" w:fill="FFFFFF" w:themeFill="background1"/>
          </w:tcPr>
          <w:p w:rsidR="00196260" w:rsidRDefault="00196260">
            <w:pPr>
              <w:rPr>
                <w:sz w:val="20"/>
                <w:szCs w:val="20"/>
              </w:rPr>
            </w:pP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MD </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467/1,218</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62.2 (59.3-65.1)</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64.5 (61.6-67.4)</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2.3 (0.3-4.3)</w:t>
            </w:r>
          </w:p>
        </w:tc>
      </w:tr>
      <w:tr w:rsidR="00196260" w:rsidTr="00196260">
        <w:tc>
          <w:tcPr>
            <w:tcW w:w="1934" w:type="pct"/>
            <w:tcBorders>
              <w:top w:val="nil"/>
              <w:left w:val="nil"/>
              <w:bottom w:val="single" w:sz="4" w:space="0" w:color="auto"/>
              <w:right w:val="nil"/>
            </w:tcBorders>
            <w:shd w:val="clear" w:color="auto" w:fill="auto"/>
            <w:hideMark/>
          </w:tcPr>
          <w:p w:rsidR="00196260" w:rsidRDefault="00196260">
            <w:pPr>
              <w:rPr>
                <w:sz w:val="20"/>
                <w:szCs w:val="20"/>
              </w:rPr>
            </w:pPr>
            <w:r>
              <w:rPr>
                <w:b/>
                <w:sz w:val="20"/>
                <w:szCs w:val="20"/>
              </w:rPr>
              <w:t xml:space="preserve">  + PRS + MD</w:t>
            </w:r>
          </w:p>
        </w:tc>
        <w:tc>
          <w:tcPr>
            <w:tcW w:w="693"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467/1,218</w:t>
            </w:r>
          </w:p>
        </w:tc>
        <w:tc>
          <w:tcPr>
            <w:tcW w:w="814"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62.2 (59.3-65.1)</w:t>
            </w:r>
          </w:p>
        </w:tc>
        <w:tc>
          <w:tcPr>
            <w:tcW w:w="814"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69.5 (66.8-72.2)</w:t>
            </w:r>
          </w:p>
        </w:tc>
        <w:tc>
          <w:tcPr>
            <w:tcW w:w="745"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7.4 (4.7-10.1)</w:t>
            </w:r>
          </w:p>
        </w:tc>
      </w:tr>
      <w:tr w:rsidR="00196260" w:rsidTr="00196260">
        <w:tc>
          <w:tcPr>
            <w:tcW w:w="2627" w:type="pct"/>
            <w:gridSpan w:val="2"/>
            <w:tcBorders>
              <w:top w:val="single" w:sz="4" w:space="0" w:color="auto"/>
              <w:left w:val="nil"/>
              <w:bottom w:val="nil"/>
              <w:right w:val="nil"/>
            </w:tcBorders>
            <w:shd w:val="clear" w:color="auto" w:fill="auto"/>
            <w:hideMark/>
          </w:tcPr>
          <w:p w:rsidR="00196260" w:rsidRDefault="00196260">
            <w:pPr>
              <w:rPr>
                <w:sz w:val="20"/>
                <w:szCs w:val="20"/>
              </w:rPr>
            </w:pPr>
            <w:r>
              <w:rPr>
                <w:b/>
                <w:sz w:val="20"/>
                <w:szCs w:val="20"/>
              </w:rPr>
              <w:t>Postmenopausal women not using HT</w:t>
            </w:r>
          </w:p>
        </w:tc>
        <w:tc>
          <w:tcPr>
            <w:tcW w:w="814" w:type="pct"/>
            <w:tcBorders>
              <w:top w:val="single" w:sz="4" w:space="0" w:color="auto"/>
              <w:left w:val="nil"/>
              <w:bottom w:val="nil"/>
              <w:right w:val="nil"/>
            </w:tcBorders>
            <w:shd w:val="clear" w:color="auto" w:fill="auto"/>
          </w:tcPr>
          <w:p w:rsidR="00196260" w:rsidRDefault="00196260">
            <w:pPr>
              <w:rPr>
                <w:sz w:val="20"/>
                <w:szCs w:val="20"/>
              </w:rPr>
            </w:pPr>
          </w:p>
        </w:tc>
        <w:tc>
          <w:tcPr>
            <w:tcW w:w="814" w:type="pct"/>
            <w:tcBorders>
              <w:top w:val="single" w:sz="4" w:space="0" w:color="auto"/>
              <w:left w:val="nil"/>
              <w:bottom w:val="nil"/>
              <w:right w:val="nil"/>
            </w:tcBorders>
            <w:shd w:val="clear" w:color="auto" w:fill="auto"/>
          </w:tcPr>
          <w:p w:rsidR="00196260" w:rsidRDefault="00196260">
            <w:pPr>
              <w:rPr>
                <w:sz w:val="20"/>
                <w:szCs w:val="20"/>
              </w:rPr>
            </w:pPr>
          </w:p>
        </w:tc>
        <w:tc>
          <w:tcPr>
            <w:tcW w:w="745" w:type="pct"/>
            <w:tcBorders>
              <w:top w:val="single" w:sz="4" w:space="0" w:color="auto"/>
              <w:left w:val="nil"/>
              <w:bottom w:val="nil"/>
              <w:right w:val="nil"/>
            </w:tcBorders>
            <w:shd w:val="clear" w:color="auto" w:fill="auto"/>
          </w:tcPr>
          <w:p w:rsidR="00196260" w:rsidRDefault="00196260">
            <w:pPr>
              <w:rPr>
                <w:sz w:val="20"/>
                <w:szCs w:val="20"/>
              </w:rPr>
            </w:pP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MD </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229/567</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58.2 (53.9-62.5)</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58.6 (54.3-62.9)</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0.5 (-1.5-2.5)</w:t>
            </w: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T + E1S + PRL</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287/622</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60.2 (56.3-64.1)</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63.7 (59.8-67.6)</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3.7 (1.0-6.4)</w:t>
            </w:r>
          </w:p>
        </w:tc>
      </w:tr>
      <w:tr w:rsidR="00196260" w:rsidTr="00196260">
        <w:tc>
          <w:tcPr>
            <w:tcW w:w="1934" w:type="pct"/>
            <w:tcBorders>
              <w:top w:val="nil"/>
              <w:left w:val="nil"/>
              <w:bottom w:val="nil"/>
              <w:right w:val="nil"/>
            </w:tcBorders>
            <w:shd w:val="clear" w:color="auto" w:fill="auto"/>
            <w:hideMark/>
          </w:tcPr>
          <w:p w:rsidR="00196260" w:rsidRDefault="00196260">
            <w:pPr>
              <w:rPr>
                <w:sz w:val="20"/>
                <w:szCs w:val="20"/>
              </w:rPr>
            </w:pPr>
            <w:r>
              <w:rPr>
                <w:b/>
                <w:sz w:val="20"/>
                <w:szCs w:val="20"/>
              </w:rPr>
              <w:t xml:space="preserve">  + PRS + MD</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229/567</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58.2 (53.9-62.5)</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64.0 (59.9-68.1)</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5.8 (1.9-9.7)</w:t>
            </w: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PRS + T + E1S + PRL</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287/622</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60.2 (56.3-64.1)</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65.1 (61.4-68.8)</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5.1 (1.8-8.4)</w:t>
            </w: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MD + T + E1S + PRL</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182/419</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58.8 (53.9-63.7)</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64.5 (59.8-69.2)</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5.9 (2.0-9.8)</w:t>
            </w:r>
          </w:p>
        </w:tc>
      </w:tr>
      <w:tr w:rsidR="00196260" w:rsidTr="00196260">
        <w:tc>
          <w:tcPr>
            <w:tcW w:w="1934" w:type="pct"/>
            <w:tcBorders>
              <w:top w:val="nil"/>
              <w:left w:val="nil"/>
              <w:bottom w:val="single" w:sz="4" w:space="0" w:color="auto"/>
              <w:right w:val="nil"/>
            </w:tcBorders>
            <w:shd w:val="clear" w:color="auto" w:fill="auto"/>
            <w:hideMark/>
          </w:tcPr>
          <w:p w:rsidR="00196260" w:rsidRDefault="00196260">
            <w:pPr>
              <w:rPr>
                <w:sz w:val="20"/>
                <w:szCs w:val="20"/>
              </w:rPr>
            </w:pPr>
            <w:r>
              <w:rPr>
                <w:b/>
                <w:sz w:val="20"/>
                <w:szCs w:val="20"/>
              </w:rPr>
              <w:t xml:space="preserve">  + PRS + MD + T + E1S + PRL</w:t>
            </w:r>
            <w:r>
              <w:rPr>
                <w:rFonts w:cs="Arial"/>
                <w:sz w:val="20"/>
                <w:szCs w:val="20"/>
              </w:rPr>
              <w:t>†</w:t>
            </w:r>
          </w:p>
        </w:tc>
        <w:tc>
          <w:tcPr>
            <w:tcW w:w="693"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182/419</w:t>
            </w:r>
          </w:p>
        </w:tc>
        <w:tc>
          <w:tcPr>
            <w:tcW w:w="814"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58.7 (53.8-63.6)</w:t>
            </w:r>
          </w:p>
        </w:tc>
        <w:tc>
          <w:tcPr>
            <w:tcW w:w="814"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67.3 (62.6-72.0)</w:t>
            </w:r>
          </w:p>
        </w:tc>
        <w:tc>
          <w:tcPr>
            <w:tcW w:w="745"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8.6 (3.9-13.3)</w:t>
            </w:r>
          </w:p>
        </w:tc>
      </w:tr>
      <w:tr w:rsidR="00196260" w:rsidTr="00196260">
        <w:tc>
          <w:tcPr>
            <w:tcW w:w="1934" w:type="pct"/>
            <w:tcBorders>
              <w:top w:val="single" w:sz="4" w:space="0" w:color="auto"/>
              <w:left w:val="nil"/>
              <w:bottom w:val="nil"/>
              <w:right w:val="nil"/>
            </w:tcBorders>
            <w:shd w:val="clear" w:color="auto" w:fill="auto"/>
            <w:hideMark/>
          </w:tcPr>
          <w:p w:rsidR="00196260" w:rsidRDefault="00196260">
            <w:pPr>
              <w:rPr>
                <w:b/>
                <w:sz w:val="20"/>
                <w:szCs w:val="20"/>
              </w:rPr>
            </w:pPr>
            <w:r>
              <w:rPr>
                <w:b/>
                <w:sz w:val="20"/>
                <w:szCs w:val="20"/>
              </w:rPr>
              <w:t>Postmenopausal women using HT</w:t>
            </w:r>
          </w:p>
        </w:tc>
        <w:tc>
          <w:tcPr>
            <w:tcW w:w="693" w:type="pct"/>
            <w:tcBorders>
              <w:top w:val="single" w:sz="4" w:space="0" w:color="auto"/>
              <w:left w:val="nil"/>
              <w:bottom w:val="nil"/>
              <w:right w:val="nil"/>
            </w:tcBorders>
            <w:shd w:val="clear" w:color="auto" w:fill="auto"/>
          </w:tcPr>
          <w:p w:rsidR="00196260" w:rsidRDefault="00196260">
            <w:pPr>
              <w:rPr>
                <w:sz w:val="20"/>
                <w:szCs w:val="20"/>
              </w:rPr>
            </w:pPr>
          </w:p>
        </w:tc>
        <w:tc>
          <w:tcPr>
            <w:tcW w:w="814" w:type="pct"/>
            <w:tcBorders>
              <w:top w:val="single" w:sz="4" w:space="0" w:color="auto"/>
              <w:left w:val="nil"/>
              <w:bottom w:val="nil"/>
              <w:right w:val="nil"/>
            </w:tcBorders>
            <w:shd w:val="clear" w:color="auto" w:fill="auto"/>
          </w:tcPr>
          <w:p w:rsidR="00196260" w:rsidRDefault="00196260">
            <w:pPr>
              <w:rPr>
                <w:sz w:val="20"/>
                <w:szCs w:val="20"/>
              </w:rPr>
            </w:pPr>
          </w:p>
        </w:tc>
        <w:tc>
          <w:tcPr>
            <w:tcW w:w="814" w:type="pct"/>
            <w:tcBorders>
              <w:top w:val="single" w:sz="4" w:space="0" w:color="auto"/>
              <w:left w:val="nil"/>
              <w:bottom w:val="nil"/>
              <w:right w:val="nil"/>
            </w:tcBorders>
            <w:shd w:val="clear" w:color="auto" w:fill="auto"/>
          </w:tcPr>
          <w:p w:rsidR="00196260" w:rsidRDefault="00196260">
            <w:pPr>
              <w:rPr>
                <w:sz w:val="20"/>
                <w:szCs w:val="20"/>
              </w:rPr>
            </w:pPr>
          </w:p>
        </w:tc>
        <w:tc>
          <w:tcPr>
            <w:tcW w:w="745" w:type="pct"/>
            <w:tcBorders>
              <w:top w:val="single" w:sz="4" w:space="0" w:color="auto"/>
              <w:left w:val="nil"/>
              <w:bottom w:val="nil"/>
              <w:right w:val="nil"/>
            </w:tcBorders>
            <w:shd w:val="clear" w:color="auto" w:fill="auto"/>
          </w:tcPr>
          <w:p w:rsidR="00196260" w:rsidRDefault="00196260">
            <w:pPr>
              <w:rPr>
                <w:sz w:val="20"/>
                <w:szCs w:val="20"/>
              </w:rPr>
            </w:pP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MD </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289/518</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60.1 (56.0-64.2)</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64.0 (60.1-67.9)</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3.7 (0.4-7.0)</w:t>
            </w: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PRL</w:t>
            </w:r>
          </w:p>
        </w:tc>
        <w:tc>
          <w:tcPr>
            <w:tcW w:w="693" w:type="pct"/>
            <w:tcBorders>
              <w:top w:val="nil"/>
              <w:left w:val="nil"/>
              <w:bottom w:val="nil"/>
              <w:right w:val="nil"/>
            </w:tcBorders>
            <w:shd w:val="clear" w:color="auto" w:fill="auto"/>
            <w:hideMark/>
          </w:tcPr>
          <w:p w:rsidR="00196260" w:rsidRDefault="00196260">
            <w:pPr>
              <w:tabs>
                <w:tab w:val="left" w:pos="601"/>
              </w:tabs>
              <w:rPr>
                <w:sz w:val="20"/>
                <w:szCs w:val="20"/>
              </w:rPr>
            </w:pPr>
            <w:r>
              <w:rPr>
                <w:sz w:val="20"/>
                <w:szCs w:val="20"/>
              </w:rPr>
              <w:t>437/543</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59.7 (56.2-63.2)</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60.6 (57.1-64.1)</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0.8 (-0.4-2.0)</w:t>
            </w:r>
          </w:p>
        </w:tc>
      </w:tr>
      <w:tr w:rsidR="00196260" w:rsidTr="00196260">
        <w:tc>
          <w:tcPr>
            <w:tcW w:w="1934" w:type="pct"/>
            <w:tcBorders>
              <w:top w:val="nil"/>
              <w:left w:val="nil"/>
              <w:bottom w:val="nil"/>
              <w:right w:val="nil"/>
            </w:tcBorders>
            <w:shd w:val="clear" w:color="auto" w:fill="auto"/>
            <w:hideMark/>
          </w:tcPr>
          <w:p w:rsidR="00196260" w:rsidRDefault="00196260">
            <w:pPr>
              <w:rPr>
                <w:sz w:val="20"/>
                <w:szCs w:val="20"/>
              </w:rPr>
            </w:pPr>
            <w:r>
              <w:rPr>
                <w:b/>
                <w:sz w:val="20"/>
                <w:szCs w:val="20"/>
              </w:rPr>
              <w:t xml:space="preserve">  + PRS + MD</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289/518</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60.1 (56.0-64.2)</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68.3 (64.4-72.2)</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7.8 (3.9-11.7)</w:t>
            </w: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PRS + PRL</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255/358</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57.8 (53.3-62.3)</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65.0 (60.7-69.3)</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7.0 (2.9-11.1)</w:t>
            </w:r>
          </w:p>
        </w:tc>
      </w:tr>
      <w:tr w:rsidR="00196260" w:rsidTr="00196260">
        <w:tc>
          <w:tcPr>
            <w:tcW w:w="1934" w:type="pct"/>
            <w:tcBorders>
              <w:top w:val="nil"/>
              <w:left w:val="nil"/>
              <w:bottom w:val="nil"/>
              <w:right w:val="nil"/>
            </w:tcBorders>
            <w:shd w:val="clear" w:color="auto" w:fill="auto"/>
            <w:hideMark/>
          </w:tcPr>
          <w:p w:rsidR="00196260" w:rsidRDefault="00196260">
            <w:pPr>
              <w:rPr>
                <w:b/>
                <w:sz w:val="20"/>
                <w:szCs w:val="20"/>
              </w:rPr>
            </w:pPr>
            <w:r>
              <w:rPr>
                <w:b/>
                <w:sz w:val="20"/>
                <w:szCs w:val="20"/>
              </w:rPr>
              <w:t xml:space="preserve">  + MD + PRL</w:t>
            </w:r>
          </w:p>
        </w:tc>
        <w:tc>
          <w:tcPr>
            <w:tcW w:w="693" w:type="pct"/>
            <w:tcBorders>
              <w:top w:val="nil"/>
              <w:left w:val="nil"/>
              <w:bottom w:val="nil"/>
              <w:right w:val="nil"/>
            </w:tcBorders>
            <w:shd w:val="clear" w:color="auto" w:fill="auto"/>
            <w:hideMark/>
          </w:tcPr>
          <w:p w:rsidR="00196260" w:rsidRDefault="00196260">
            <w:pPr>
              <w:rPr>
                <w:sz w:val="20"/>
                <w:szCs w:val="20"/>
              </w:rPr>
            </w:pPr>
            <w:r>
              <w:rPr>
                <w:sz w:val="20"/>
                <w:szCs w:val="20"/>
              </w:rPr>
              <w:t>255/358</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57.8 (53.3-62.3)</w:t>
            </w:r>
          </w:p>
        </w:tc>
        <w:tc>
          <w:tcPr>
            <w:tcW w:w="814" w:type="pct"/>
            <w:tcBorders>
              <w:top w:val="nil"/>
              <w:left w:val="nil"/>
              <w:bottom w:val="nil"/>
              <w:right w:val="nil"/>
            </w:tcBorders>
            <w:shd w:val="clear" w:color="auto" w:fill="auto"/>
            <w:hideMark/>
          </w:tcPr>
          <w:p w:rsidR="00196260" w:rsidRDefault="00196260">
            <w:pPr>
              <w:rPr>
                <w:sz w:val="20"/>
                <w:szCs w:val="20"/>
              </w:rPr>
            </w:pPr>
            <w:r>
              <w:rPr>
                <w:sz w:val="20"/>
                <w:szCs w:val="20"/>
              </w:rPr>
              <w:t>61.7 (57.2-66.2)</w:t>
            </w:r>
          </w:p>
        </w:tc>
        <w:tc>
          <w:tcPr>
            <w:tcW w:w="745" w:type="pct"/>
            <w:tcBorders>
              <w:top w:val="nil"/>
              <w:left w:val="nil"/>
              <w:bottom w:val="nil"/>
              <w:right w:val="nil"/>
            </w:tcBorders>
            <w:shd w:val="clear" w:color="auto" w:fill="auto"/>
            <w:hideMark/>
          </w:tcPr>
          <w:p w:rsidR="00196260" w:rsidRDefault="00196260">
            <w:pPr>
              <w:rPr>
                <w:sz w:val="20"/>
                <w:szCs w:val="20"/>
              </w:rPr>
            </w:pPr>
            <w:r>
              <w:rPr>
                <w:sz w:val="20"/>
                <w:szCs w:val="20"/>
              </w:rPr>
              <w:t>3.9 (0.2-7.6)</w:t>
            </w:r>
          </w:p>
        </w:tc>
      </w:tr>
      <w:tr w:rsidR="00196260" w:rsidTr="00196260">
        <w:tc>
          <w:tcPr>
            <w:tcW w:w="1934" w:type="pct"/>
            <w:tcBorders>
              <w:top w:val="nil"/>
              <w:left w:val="nil"/>
              <w:bottom w:val="single" w:sz="4" w:space="0" w:color="auto"/>
              <w:right w:val="nil"/>
            </w:tcBorders>
            <w:shd w:val="clear" w:color="auto" w:fill="auto"/>
            <w:hideMark/>
          </w:tcPr>
          <w:p w:rsidR="00196260" w:rsidRDefault="00196260">
            <w:pPr>
              <w:rPr>
                <w:sz w:val="20"/>
                <w:szCs w:val="20"/>
              </w:rPr>
            </w:pPr>
            <w:r>
              <w:rPr>
                <w:b/>
                <w:sz w:val="20"/>
                <w:szCs w:val="20"/>
              </w:rPr>
              <w:t xml:space="preserve">  + PRS + MD + prolactin</w:t>
            </w:r>
          </w:p>
        </w:tc>
        <w:tc>
          <w:tcPr>
            <w:tcW w:w="693"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255/358</w:t>
            </w:r>
          </w:p>
        </w:tc>
        <w:tc>
          <w:tcPr>
            <w:tcW w:w="814"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57.8 (53.3-62.3)</w:t>
            </w:r>
          </w:p>
        </w:tc>
        <w:tc>
          <w:tcPr>
            <w:tcW w:w="814"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66.3 (62.0-70.6)</w:t>
            </w:r>
          </w:p>
        </w:tc>
        <w:tc>
          <w:tcPr>
            <w:tcW w:w="745" w:type="pct"/>
            <w:tcBorders>
              <w:top w:val="nil"/>
              <w:left w:val="nil"/>
              <w:bottom w:val="single" w:sz="4" w:space="0" w:color="auto"/>
              <w:right w:val="nil"/>
            </w:tcBorders>
            <w:shd w:val="clear" w:color="auto" w:fill="auto"/>
            <w:hideMark/>
          </w:tcPr>
          <w:p w:rsidR="00196260" w:rsidRDefault="00196260">
            <w:pPr>
              <w:rPr>
                <w:sz w:val="20"/>
                <w:szCs w:val="20"/>
              </w:rPr>
            </w:pPr>
            <w:r>
              <w:rPr>
                <w:sz w:val="20"/>
                <w:szCs w:val="20"/>
              </w:rPr>
              <w:t>8.5 (4.2-12.8)</w:t>
            </w:r>
          </w:p>
        </w:tc>
      </w:tr>
      <w:tr w:rsidR="00196260" w:rsidTr="00196260">
        <w:tc>
          <w:tcPr>
            <w:tcW w:w="1934" w:type="pct"/>
            <w:tcBorders>
              <w:top w:val="single" w:sz="4" w:space="0" w:color="auto"/>
              <w:left w:val="nil"/>
              <w:bottom w:val="single" w:sz="4" w:space="0" w:color="auto"/>
              <w:right w:val="nil"/>
            </w:tcBorders>
            <w:shd w:val="clear" w:color="auto" w:fill="FFFFFF" w:themeFill="background1"/>
            <w:hideMark/>
          </w:tcPr>
          <w:p w:rsidR="00196260" w:rsidRDefault="00196260">
            <w:pPr>
              <w:rPr>
                <w:b/>
                <w:sz w:val="20"/>
                <w:szCs w:val="20"/>
              </w:rPr>
            </w:pPr>
            <w:r>
              <w:rPr>
                <w:b/>
                <w:sz w:val="20"/>
                <w:szCs w:val="20"/>
              </w:rPr>
              <w:t>All women</w:t>
            </w:r>
          </w:p>
        </w:tc>
        <w:tc>
          <w:tcPr>
            <w:tcW w:w="693" w:type="pct"/>
            <w:tcBorders>
              <w:top w:val="single" w:sz="4" w:space="0" w:color="auto"/>
              <w:left w:val="nil"/>
              <w:bottom w:val="single" w:sz="4" w:space="0" w:color="auto"/>
              <w:right w:val="nil"/>
            </w:tcBorders>
            <w:shd w:val="clear" w:color="auto" w:fill="FFFFFF" w:themeFill="background1"/>
            <w:hideMark/>
          </w:tcPr>
          <w:p w:rsidR="00196260" w:rsidRDefault="00196260">
            <w:pPr>
              <w:rPr>
                <w:sz w:val="20"/>
                <w:szCs w:val="20"/>
              </w:rPr>
            </w:pPr>
            <w:r>
              <w:rPr>
                <w:sz w:val="20"/>
                <w:szCs w:val="20"/>
              </w:rPr>
              <w:t>786/1,561</w:t>
            </w:r>
          </w:p>
        </w:tc>
        <w:tc>
          <w:tcPr>
            <w:tcW w:w="814" w:type="pct"/>
            <w:tcBorders>
              <w:top w:val="single" w:sz="4" w:space="0" w:color="auto"/>
              <w:left w:val="nil"/>
              <w:bottom w:val="single" w:sz="4" w:space="0" w:color="auto"/>
              <w:right w:val="nil"/>
            </w:tcBorders>
            <w:shd w:val="clear" w:color="auto" w:fill="FFFFFF" w:themeFill="background1"/>
            <w:hideMark/>
          </w:tcPr>
          <w:p w:rsidR="00196260" w:rsidRDefault="00196260">
            <w:pPr>
              <w:rPr>
                <w:sz w:val="20"/>
                <w:szCs w:val="20"/>
              </w:rPr>
            </w:pPr>
            <w:r>
              <w:rPr>
                <w:sz w:val="20"/>
                <w:szCs w:val="20"/>
              </w:rPr>
              <w:t>61.6 (59.2-64.0)</w:t>
            </w:r>
          </w:p>
        </w:tc>
        <w:tc>
          <w:tcPr>
            <w:tcW w:w="814" w:type="pct"/>
            <w:tcBorders>
              <w:top w:val="single" w:sz="4" w:space="0" w:color="auto"/>
              <w:left w:val="nil"/>
              <w:bottom w:val="single" w:sz="4" w:space="0" w:color="auto"/>
              <w:right w:val="nil"/>
            </w:tcBorders>
            <w:shd w:val="clear" w:color="auto" w:fill="FFFFFF" w:themeFill="background1"/>
            <w:hideMark/>
          </w:tcPr>
          <w:p w:rsidR="00196260" w:rsidRDefault="00196260">
            <w:pPr>
              <w:rPr>
                <w:sz w:val="20"/>
                <w:szCs w:val="20"/>
              </w:rPr>
            </w:pPr>
            <w:r>
              <w:rPr>
                <w:sz w:val="20"/>
                <w:szCs w:val="20"/>
              </w:rPr>
              <w:t>68.2 (65.8-70.6)</w:t>
            </w:r>
          </w:p>
        </w:tc>
        <w:tc>
          <w:tcPr>
            <w:tcW w:w="745" w:type="pct"/>
            <w:tcBorders>
              <w:top w:val="single" w:sz="4" w:space="0" w:color="auto"/>
              <w:left w:val="nil"/>
              <w:bottom w:val="single" w:sz="4" w:space="0" w:color="auto"/>
              <w:right w:val="nil"/>
            </w:tcBorders>
            <w:shd w:val="clear" w:color="auto" w:fill="FFFFFF" w:themeFill="background1"/>
            <w:hideMark/>
          </w:tcPr>
          <w:p w:rsidR="00196260" w:rsidRDefault="00196260">
            <w:pPr>
              <w:rPr>
                <w:sz w:val="20"/>
                <w:szCs w:val="20"/>
              </w:rPr>
            </w:pPr>
            <w:r>
              <w:rPr>
                <w:sz w:val="20"/>
                <w:szCs w:val="20"/>
              </w:rPr>
              <w:t>6.6 (4.4-8.8)</w:t>
            </w:r>
          </w:p>
        </w:tc>
      </w:tr>
    </w:tbl>
    <w:bookmarkEnd w:id="0"/>
    <w:p w:rsidR="00196260" w:rsidRDefault="00196260" w:rsidP="00196260">
      <w:pPr>
        <w:rPr>
          <w:sz w:val="18"/>
        </w:rPr>
      </w:pPr>
      <w:r>
        <w:rPr>
          <w:sz w:val="18"/>
        </w:rPr>
        <w:t xml:space="preserve">*These are “baseline” AUC without any of the biomarkers included. For the full model AUC, PRS, MD, and circulating hormones were modeled as continuous variables. Some of the changes in AUC did not match exactly due to rounding. </w:t>
      </w:r>
    </w:p>
    <w:p w:rsidR="001951C6" w:rsidRDefault="00196260" w:rsidP="00196260">
      <w:r>
        <w:rPr>
          <w:rFonts w:cs="Arial"/>
          <w:sz w:val="20"/>
          <w:szCs w:val="20"/>
        </w:rPr>
        <w:t>† Because of the few number of cases and control if using &lt;45 as the first age group. We used &lt;49 (rather than &lt;45) as the first age group when we conducted the age-stratified analysis for this subgroup.</w:t>
      </w:r>
      <w:bookmarkStart w:id="1" w:name="_GoBack"/>
      <w:bookmarkEnd w:id="1"/>
    </w:p>
    <w:sectPr w:rsidR="00195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260"/>
    <w:rsid w:val="001951C6"/>
    <w:rsid w:val="0019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B03EA2-12B7-4538-8F11-3C499400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6260"/>
    <w:pPr>
      <w:spacing w:after="0" w:line="240" w:lineRule="auto"/>
    </w:pPr>
    <w:rPr>
      <w:rFonts w:ascii="Arial" w:eastAsiaTheme="minorEastAsia"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6260"/>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40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Burd</dc:creator>
  <cp:keywords/>
  <dc:description/>
  <cp:lastModifiedBy>Charlie Burd</cp:lastModifiedBy>
  <cp:revision>1</cp:revision>
  <dcterms:created xsi:type="dcterms:W3CDTF">2018-07-23T22:05:00Z</dcterms:created>
  <dcterms:modified xsi:type="dcterms:W3CDTF">2018-07-23T22:05:00Z</dcterms:modified>
</cp:coreProperties>
</file>