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744A" w:rsidRPr="002D6F6F" w:rsidRDefault="00CE744A" w:rsidP="00CE744A">
      <w:pPr>
        <w:spacing w:before="100" w:after="100" w:line="276" w:lineRule="auto"/>
        <w:rPr>
          <w:rFonts w:ascii="Calibri" w:hAnsi="Calibri" w:cs="Times New Roman"/>
          <w:sz w:val="22"/>
          <w:szCs w:val="22"/>
        </w:rPr>
      </w:pPr>
      <w:r w:rsidRPr="002D6F6F">
        <w:rPr>
          <w:rFonts w:ascii="Arial" w:hAnsi="Arial" w:cs="Arial"/>
          <w:b/>
          <w:sz w:val="22"/>
          <w:szCs w:val="22"/>
        </w:rPr>
        <w:t xml:space="preserve">Supplemental table 11: Joint model of the risk of incident diabetes mellitus by </w:t>
      </w:r>
      <w:r>
        <w:rPr>
          <w:rFonts w:ascii="Arial" w:hAnsi="Arial" w:cs="Arial"/>
          <w:b/>
          <w:sz w:val="22"/>
          <w:szCs w:val="22"/>
        </w:rPr>
        <w:t>time-updated</w:t>
      </w:r>
      <w:r w:rsidRPr="002D6F6F">
        <w:rPr>
          <w:rFonts w:ascii="Arial" w:hAnsi="Arial" w:cs="Arial"/>
          <w:b/>
          <w:sz w:val="22"/>
          <w:szCs w:val="22"/>
        </w:rPr>
        <w:t xml:space="preserve"> </w:t>
      </w:r>
      <w:proofErr w:type="spellStart"/>
      <w:r w:rsidRPr="002D6F6F">
        <w:rPr>
          <w:rFonts w:ascii="Arial" w:hAnsi="Arial" w:cs="Arial"/>
          <w:b/>
          <w:sz w:val="22"/>
          <w:szCs w:val="22"/>
        </w:rPr>
        <w:t>eGFR</w:t>
      </w:r>
      <w:proofErr w:type="spellEnd"/>
      <w:r w:rsidRPr="002D6F6F">
        <w:rPr>
          <w:rFonts w:ascii="Arial" w:hAnsi="Arial" w:cs="Arial"/>
          <w:b/>
          <w:sz w:val="22"/>
          <w:szCs w:val="22"/>
        </w:rPr>
        <w:t xml:space="preserve"> and BUN category where participants with diabetic retinopathy during follow up were excluded (N=1,330,981)</w:t>
      </w:r>
    </w:p>
    <w:tbl>
      <w:tblPr>
        <w:tblW w:w="0" w:type="auto"/>
        <w:tblLook w:val="04A0" w:firstRow="1" w:lastRow="0" w:firstColumn="1" w:lastColumn="0" w:noHBand="0" w:noVBand="1"/>
      </w:tblPr>
      <w:tblGrid>
        <w:gridCol w:w="3168"/>
        <w:gridCol w:w="2430"/>
        <w:gridCol w:w="2520"/>
      </w:tblGrid>
      <w:tr w:rsidR="00CE744A" w:rsidRPr="002D6F6F" w:rsidTr="001B5839">
        <w:tc>
          <w:tcPr>
            <w:tcW w:w="3168" w:type="dxa"/>
            <w:tcBorders>
              <w:top w:val="single" w:sz="12" w:space="0" w:color="auto"/>
              <w:left w:val="single" w:sz="12" w:space="0" w:color="auto"/>
              <w:bottom w:val="single" w:sz="12" w:space="0" w:color="auto"/>
              <w:right w:val="single" w:sz="12" w:space="0" w:color="auto"/>
            </w:tcBorders>
          </w:tcPr>
          <w:p w:rsidR="00CE744A" w:rsidRPr="002D6F6F" w:rsidRDefault="00CE744A" w:rsidP="001B5839">
            <w:pPr>
              <w:spacing w:before="100" w:after="100" w:line="276" w:lineRule="auto"/>
              <w:rPr>
                <w:rFonts w:ascii="Arial" w:hAnsi="Arial" w:cs="Arial"/>
                <w:sz w:val="22"/>
                <w:szCs w:val="22"/>
              </w:rPr>
            </w:pPr>
          </w:p>
        </w:tc>
        <w:tc>
          <w:tcPr>
            <w:tcW w:w="2430" w:type="dxa"/>
            <w:tcBorders>
              <w:top w:val="single" w:sz="12" w:space="0" w:color="auto"/>
              <w:left w:val="single" w:sz="12" w:space="0" w:color="auto"/>
              <w:bottom w:val="single" w:sz="12" w:space="0" w:color="auto"/>
              <w:right w:val="single" w:sz="4" w:space="0" w:color="auto"/>
            </w:tcBorders>
          </w:tcPr>
          <w:p w:rsidR="00CE744A" w:rsidRPr="002D6F6F" w:rsidRDefault="00CE744A" w:rsidP="001B5839">
            <w:pPr>
              <w:spacing w:before="100" w:after="100" w:line="276" w:lineRule="auto"/>
              <w:jc w:val="center"/>
              <w:rPr>
                <w:rFonts w:ascii="Arial" w:hAnsi="Arial" w:cs="Arial"/>
                <w:b/>
                <w:sz w:val="22"/>
                <w:szCs w:val="22"/>
              </w:rPr>
            </w:pPr>
            <w:r w:rsidRPr="002D6F6F">
              <w:rPr>
                <w:rFonts w:ascii="Arial" w:hAnsi="Arial" w:cs="Arial"/>
                <w:b/>
                <w:sz w:val="22"/>
                <w:szCs w:val="22"/>
              </w:rPr>
              <w:t>BUN ≤25 mg/dL</w:t>
            </w:r>
          </w:p>
          <w:p w:rsidR="00CE744A" w:rsidRPr="002D6F6F" w:rsidRDefault="00CE744A" w:rsidP="001B5839">
            <w:pPr>
              <w:spacing w:before="100" w:after="100" w:line="276" w:lineRule="auto"/>
              <w:jc w:val="center"/>
              <w:rPr>
                <w:rFonts w:ascii="Arial" w:hAnsi="Arial" w:cs="Arial"/>
                <w:sz w:val="22"/>
                <w:szCs w:val="22"/>
              </w:rPr>
            </w:pPr>
            <w:r w:rsidRPr="002D6F6F">
              <w:rPr>
                <w:rFonts w:ascii="Arial" w:hAnsi="Arial" w:cs="Arial"/>
                <w:sz w:val="22"/>
                <w:szCs w:val="22"/>
              </w:rPr>
              <w:t>Hazard Ratio</w:t>
            </w:r>
          </w:p>
          <w:p w:rsidR="00CE744A" w:rsidRPr="002D6F6F" w:rsidRDefault="00CE744A" w:rsidP="001B5839">
            <w:pPr>
              <w:spacing w:before="100" w:after="100" w:line="276" w:lineRule="auto"/>
              <w:jc w:val="center"/>
              <w:rPr>
                <w:rFonts w:ascii="Arial" w:hAnsi="Arial" w:cs="Arial"/>
                <w:sz w:val="22"/>
                <w:szCs w:val="22"/>
              </w:rPr>
            </w:pPr>
            <w:r w:rsidRPr="002D6F6F">
              <w:rPr>
                <w:rFonts w:ascii="Arial" w:hAnsi="Arial" w:cs="Arial"/>
                <w:sz w:val="22"/>
                <w:szCs w:val="22"/>
              </w:rPr>
              <w:t>(95% confidence interval)</w:t>
            </w:r>
          </w:p>
        </w:tc>
        <w:tc>
          <w:tcPr>
            <w:tcW w:w="2520" w:type="dxa"/>
            <w:tcBorders>
              <w:top w:val="single" w:sz="12" w:space="0" w:color="auto"/>
              <w:left w:val="single" w:sz="4" w:space="0" w:color="auto"/>
              <w:bottom w:val="single" w:sz="12" w:space="0" w:color="auto"/>
              <w:right w:val="single" w:sz="12" w:space="0" w:color="auto"/>
            </w:tcBorders>
          </w:tcPr>
          <w:p w:rsidR="00CE744A" w:rsidRPr="002D6F6F" w:rsidRDefault="00CE744A" w:rsidP="001B5839">
            <w:pPr>
              <w:spacing w:before="100" w:after="100" w:line="276" w:lineRule="auto"/>
              <w:jc w:val="center"/>
              <w:rPr>
                <w:rFonts w:ascii="Arial" w:hAnsi="Arial" w:cs="Arial"/>
                <w:b/>
                <w:sz w:val="22"/>
                <w:szCs w:val="22"/>
              </w:rPr>
            </w:pPr>
            <w:r w:rsidRPr="002D6F6F">
              <w:rPr>
                <w:rFonts w:ascii="Arial" w:hAnsi="Arial" w:cs="Arial"/>
                <w:b/>
                <w:sz w:val="22"/>
                <w:szCs w:val="22"/>
              </w:rPr>
              <w:t>BUN &gt;25 mg/dL</w:t>
            </w:r>
          </w:p>
          <w:p w:rsidR="00CE744A" w:rsidRPr="002D6F6F" w:rsidRDefault="00CE744A" w:rsidP="001B5839">
            <w:pPr>
              <w:spacing w:before="100" w:after="100" w:line="276" w:lineRule="auto"/>
              <w:jc w:val="center"/>
              <w:rPr>
                <w:rFonts w:ascii="Arial" w:hAnsi="Arial" w:cs="Arial"/>
                <w:sz w:val="22"/>
                <w:szCs w:val="22"/>
              </w:rPr>
            </w:pPr>
            <w:r w:rsidRPr="002D6F6F">
              <w:rPr>
                <w:rFonts w:ascii="Arial" w:hAnsi="Arial" w:cs="Arial"/>
                <w:sz w:val="22"/>
                <w:szCs w:val="22"/>
              </w:rPr>
              <w:t>Hazard Ratio</w:t>
            </w:r>
          </w:p>
          <w:p w:rsidR="00CE744A" w:rsidRPr="002D6F6F" w:rsidRDefault="00CE744A" w:rsidP="001B5839">
            <w:pPr>
              <w:spacing w:before="100" w:after="100" w:line="276" w:lineRule="auto"/>
              <w:jc w:val="center"/>
              <w:rPr>
                <w:rFonts w:ascii="Arial" w:hAnsi="Arial" w:cs="Arial"/>
                <w:sz w:val="22"/>
                <w:szCs w:val="22"/>
              </w:rPr>
            </w:pPr>
            <w:r w:rsidRPr="002D6F6F">
              <w:rPr>
                <w:rFonts w:ascii="Arial" w:hAnsi="Arial" w:cs="Arial"/>
                <w:sz w:val="22"/>
                <w:szCs w:val="22"/>
              </w:rPr>
              <w:t>(95% confidence interval)</w:t>
            </w:r>
          </w:p>
        </w:tc>
      </w:tr>
      <w:tr w:rsidR="00CE744A" w:rsidRPr="002D6F6F" w:rsidTr="001B5839">
        <w:tc>
          <w:tcPr>
            <w:tcW w:w="3168" w:type="dxa"/>
            <w:tcBorders>
              <w:top w:val="single" w:sz="12" w:space="0" w:color="auto"/>
              <w:left w:val="single" w:sz="12" w:space="0" w:color="auto"/>
              <w:bottom w:val="single" w:sz="4" w:space="0" w:color="auto"/>
              <w:right w:val="single" w:sz="12" w:space="0" w:color="auto"/>
            </w:tcBorders>
          </w:tcPr>
          <w:p w:rsidR="00CE744A" w:rsidRPr="002D6F6F" w:rsidRDefault="00CE744A" w:rsidP="001B5839">
            <w:pPr>
              <w:spacing w:before="100" w:after="100" w:line="276" w:lineRule="auto"/>
              <w:rPr>
                <w:rFonts w:ascii="Arial" w:hAnsi="Arial" w:cs="Arial"/>
                <w:b/>
                <w:sz w:val="22"/>
                <w:szCs w:val="22"/>
              </w:rPr>
            </w:pPr>
            <w:r w:rsidRPr="002D6F6F">
              <w:rPr>
                <w:rFonts w:ascii="Arial" w:hAnsi="Arial" w:cs="Arial"/>
                <w:b/>
                <w:sz w:val="22"/>
                <w:szCs w:val="22"/>
              </w:rPr>
              <w:t>eGFR≥60 ml/min/1.73m</w:t>
            </w:r>
            <w:r w:rsidRPr="002D6F6F">
              <w:rPr>
                <w:rFonts w:ascii="Arial" w:hAnsi="Arial" w:cs="Arial"/>
                <w:b/>
                <w:sz w:val="22"/>
                <w:szCs w:val="22"/>
                <w:vertAlign w:val="superscript"/>
              </w:rPr>
              <w:t>2</w:t>
            </w:r>
          </w:p>
        </w:tc>
        <w:tc>
          <w:tcPr>
            <w:tcW w:w="2430" w:type="dxa"/>
            <w:tcBorders>
              <w:top w:val="single" w:sz="12" w:space="0" w:color="auto"/>
              <w:left w:val="single" w:sz="12" w:space="0" w:color="auto"/>
              <w:bottom w:val="single" w:sz="4" w:space="0" w:color="auto"/>
              <w:right w:val="single" w:sz="4" w:space="0" w:color="auto"/>
            </w:tcBorders>
          </w:tcPr>
          <w:p w:rsidR="00CE744A" w:rsidRPr="002D6F6F" w:rsidRDefault="00CE744A" w:rsidP="001B5839">
            <w:pPr>
              <w:spacing w:before="100" w:after="100" w:line="276" w:lineRule="auto"/>
              <w:jc w:val="center"/>
              <w:rPr>
                <w:rFonts w:ascii="Arial" w:hAnsi="Arial" w:cs="Arial"/>
                <w:sz w:val="22"/>
                <w:szCs w:val="22"/>
              </w:rPr>
            </w:pPr>
            <w:r w:rsidRPr="002D6F6F">
              <w:rPr>
                <w:rFonts w:ascii="Arial" w:hAnsi="Arial" w:cs="Arial"/>
                <w:sz w:val="22"/>
                <w:szCs w:val="22"/>
              </w:rPr>
              <w:t>1.00</w:t>
            </w:r>
          </w:p>
        </w:tc>
        <w:tc>
          <w:tcPr>
            <w:tcW w:w="2520" w:type="dxa"/>
            <w:tcBorders>
              <w:top w:val="single" w:sz="12" w:space="0" w:color="auto"/>
              <w:left w:val="single" w:sz="4" w:space="0" w:color="auto"/>
              <w:bottom w:val="single" w:sz="4" w:space="0" w:color="auto"/>
              <w:right w:val="single" w:sz="12" w:space="0" w:color="auto"/>
            </w:tcBorders>
          </w:tcPr>
          <w:p w:rsidR="00CE744A" w:rsidRPr="002D6F6F" w:rsidRDefault="00CE744A"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1.27 </w:t>
            </w:r>
          </w:p>
          <w:p w:rsidR="00CE744A" w:rsidRPr="002D6F6F" w:rsidRDefault="00CE744A" w:rsidP="001B5839">
            <w:pPr>
              <w:spacing w:before="100" w:after="100" w:line="276" w:lineRule="auto"/>
              <w:jc w:val="center"/>
              <w:rPr>
                <w:rFonts w:ascii="Arial" w:hAnsi="Arial" w:cs="Arial"/>
                <w:sz w:val="22"/>
                <w:szCs w:val="22"/>
              </w:rPr>
            </w:pPr>
            <w:r w:rsidRPr="002D6F6F">
              <w:rPr>
                <w:rFonts w:ascii="Arial" w:hAnsi="Arial" w:cs="Arial"/>
                <w:sz w:val="22"/>
                <w:szCs w:val="22"/>
              </w:rPr>
              <w:t>(1.24, 1.31)</w:t>
            </w:r>
          </w:p>
        </w:tc>
      </w:tr>
      <w:tr w:rsidR="00CE744A" w:rsidRPr="002D6F6F" w:rsidTr="001B5839">
        <w:tc>
          <w:tcPr>
            <w:tcW w:w="3168" w:type="dxa"/>
            <w:tcBorders>
              <w:top w:val="single" w:sz="4" w:space="0" w:color="auto"/>
              <w:left w:val="single" w:sz="12" w:space="0" w:color="auto"/>
              <w:bottom w:val="single" w:sz="4" w:space="0" w:color="auto"/>
              <w:right w:val="single" w:sz="12" w:space="0" w:color="auto"/>
            </w:tcBorders>
          </w:tcPr>
          <w:p w:rsidR="00CE744A" w:rsidRPr="002D6F6F" w:rsidRDefault="00CE744A" w:rsidP="001B5839">
            <w:pPr>
              <w:spacing w:before="100" w:after="100" w:line="276" w:lineRule="auto"/>
              <w:rPr>
                <w:rFonts w:ascii="Arial" w:hAnsi="Arial" w:cs="Arial"/>
                <w:b/>
                <w:sz w:val="22"/>
                <w:szCs w:val="22"/>
              </w:rPr>
            </w:pPr>
            <w:r w:rsidRPr="002D6F6F">
              <w:rPr>
                <w:rFonts w:ascii="Arial" w:hAnsi="Arial" w:cs="Arial"/>
                <w:b/>
                <w:sz w:val="22"/>
                <w:szCs w:val="22"/>
              </w:rPr>
              <w:t>60&gt;eGFR≥45 ml/min/1.73 m</w:t>
            </w:r>
            <w:r w:rsidRPr="002D6F6F">
              <w:rPr>
                <w:rFonts w:ascii="Arial" w:hAnsi="Arial" w:cs="Arial"/>
                <w:b/>
                <w:sz w:val="22"/>
                <w:szCs w:val="22"/>
                <w:vertAlign w:val="superscript"/>
              </w:rPr>
              <w:t>2</w:t>
            </w:r>
          </w:p>
        </w:tc>
        <w:tc>
          <w:tcPr>
            <w:tcW w:w="2430" w:type="dxa"/>
            <w:tcBorders>
              <w:top w:val="single" w:sz="4" w:space="0" w:color="auto"/>
              <w:left w:val="single" w:sz="12" w:space="0" w:color="auto"/>
              <w:bottom w:val="single" w:sz="4" w:space="0" w:color="auto"/>
              <w:right w:val="single" w:sz="4" w:space="0" w:color="auto"/>
            </w:tcBorders>
          </w:tcPr>
          <w:p w:rsidR="00CE744A" w:rsidRPr="002D6F6F" w:rsidRDefault="00CE744A"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1.02 </w:t>
            </w:r>
          </w:p>
          <w:p w:rsidR="00CE744A" w:rsidRPr="002D6F6F" w:rsidRDefault="00CE744A" w:rsidP="001B5839">
            <w:pPr>
              <w:spacing w:before="100" w:after="100" w:line="276" w:lineRule="auto"/>
              <w:jc w:val="center"/>
              <w:rPr>
                <w:rFonts w:ascii="Arial" w:hAnsi="Arial" w:cs="Arial"/>
                <w:sz w:val="22"/>
                <w:szCs w:val="22"/>
              </w:rPr>
            </w:pPr>
            <w:r w:rsidRPr="002D6F6F">
              <w:rPr>
                <w:rFonts w:ascii="Arial" w:hAnsi="Arial" w:cs="Arial"/>
                <w:sz w:val="22"/>
                <w:szCs w:val="22"/>
              </w:rPr>
              <w:t>(1.00, 1.03)</w:t>
            </w:r>
          </w:p>
        </w:tc>
        <w:tc>
          <w:tcPr>
            <w:tcW w:w="2520" w:type="dxa"/>
            <w:tcBorders>
              <w:top w:val="single" w:sz="4" w:space="0" w:color="auto"/>
              <w:left w:val="single" w:sz="4" w:space="0" w:color="auto"/>
              <w:bottom w:val="single" w:sz="4" w:space="0" w:color="auto"/>
              <w:right w:val="single" w:sz="12" w:space="0" w:color="auto"/>
            </w:tcBorders>
          </w:tcPr>
          <w:p w:rsidR="00CE744A" w:rsidRPr="002D6F6F" w:rsidRDefault="00CE744A"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1.24 </w:t>
            </w:r>
          </w:p>
          <w:p w:rsidR="00CE744A" w:rsidRPr="002D6F6F" w:rsidRDefault="00CE744A" w:rsidP="001B5839">
            <w:pPr>
              <w:spacing w:before="100" w:after="100" w:line="276" w:lineRule="auto"/>
              <w:jc w:val="center"/>
              <w:rPr>
                <w:rFonts w:ascii="Arial" w:hAnsi="Arial" w:cs="Arial"/>
                <w:sz w:val="22"/>
                <w:szCs w:val="22"/>
              </w:rPr>
            </w:pPr>
            <w:r w:rsidRPr="002D6F6F">
              <w:rPr>
                <w:rFonts w:ascii="Arial" w:hAnsi="Arial" w:cs="Arial"/>
                <w:sz w:val="22"/>
                <w:szCs w:val="22"/>
              </w:rPr>
              <w:t>(1.20, 1.27)</w:t>
            </w:r>
          </w:p>
        </w:tc>
      </w:tr>
      <w:tr w:rsidR="00CE744A" w:rsidRPr="002D6F6F" w:rsidTr="001B5839">
        <w:tc>
          <w:tcPr>
            <w:tcW w:w="3168" w:type="dxa"/>
            <w:tcBorders>
              <w:top w:val="single" w:sz="4" w:space="0" w:color="auto"/>
              <w:left w:val="single" w:sz="12" w:space="0" w:color="auto"/>
              <w:bottom w:val="single" w:sz="4" w:space="0" w:color="auto"/>
              <w:right w:val="single" w:sz="12" w:space="0" w:color="auto"/>
            </w:tcBorders>
          </w:tcPr>
          <w:p w:rsidR="00CE744A" w:rsidRPr="002D6F6F" w:rsidRDefault="00CE744A" w:rsidP="001B5839">
            <w:pPr>
              <w:spacing w:before="100" w:after="100" w:line="276" w:lineRule="auto"/>
              <w:rPr>
                <w:rFonts w:ascii="Arial" w:hAnsi="Arial" w:cs="Arial"/>
                <w:b/>
                <w:sz w:val="22"/>
                <w:szCs w:val="22"/>
              </w:rPr>
            </w:pPr>
            <w:r w:rsidRPr="002D6F6F">
              <w:rPr>
                <w:rFonts w:ascii="Arial" w:hAnsi="Arial" w:cs="Arial"/>
                <w:b/>
                <w:sz w:val="22"/>
                <w:szCs w:val="22"/>
              </w:rPr>
              <w:t>45&gt;eGFR≥30 ml/min/1.73 m</w:t>
            </w:r>
            <w:r w:rsidRPr="002D6F6F">
              <w:rPr>
                <w:rFonts w:ascii="Arial" w:hAnsi="Arial" w:cs="Arial"/>
                <w:b/>
                <w:sz w:val="22"/>
                <w:szCs w:val="22"/>
                <w:vertAlign w:val="superscript"/>
              </w:rPr>
              <w:t>2</w:t>
            </w:r>
          </w:p>
        </w:tc>
        <w:tc>
          <w:tcPr>
            <w:tcW w:w="2430" w:type="dxa"/>
            <w:tcBorders>
              <w:top w:val="single" w:sz="4" w:space="0" w:color="auto"/>
              <w:left w:val="single" w:sz="12" w:space="0" w:color="auto"/>
              <w:bottom w:val="single" w:sz="4" w:space="0" w:color="auto"/>
              <w:right w:val="single" w:sz="4" w:space="0" w:color="auto"/>
            </w:tcBorders>
          </w:tcPr>
          <w:p w:rsidR="00CE744A" w:rsidRPr="002D6F6F" w:rsidRDefault="00CE744A" w:rsidP="001B5839">
            <w:pPr>
              <w:spacing w:before="100" w:after="100" w:line="276" w:lineRule="auto"/>
              <w:jc w:val="center"/>
              <w:rPr>
                <w:rFonts w:ascii="Arial" w:hAnsi="Arial" w:cs="Arial"/>
                <w:sz w:val="22"/>
                <w:szCs w:val="22"/>
              </w:rPr>
            </w:pPr>
            <w:r w:rsidRPr="002D6F6F">
              <w:rPr>
                <w:rFonts w:ascii="Arial" w:hAnsi="Arial" w:cs="Arial"/>
                <w:sz w:val="22"/>
                <w:szCs w:val="22"/>
              </w:rPr>
              <w:t>1.00</w:t>
            </w:r>
          </w:p>
          <w:p w:rsidR="00CE744A" w:rsidRPr="002D6F6F" w:rsidRDefault="00CE744A"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 (0.97, 1.03)</w:t>
            </w:r>
          </w:p>
        </w:tc>
        <w:tc>
          <w:tcPr>
            <w:tcW w:w="2520" w:type="dxa"/>
            <w:tcBorders>
              <w:top w:val="single" w:sz="4" w:space="0" w:color="auto"/>
              <w:left w:val="single" w:sz="4" w:space="0" w:color="auto"/>
              <w:bottom w:val="single" w:sz="4" w:space="0" w:color="auto"/>
              <w:right w:val="single" w:sz="12" w:space="0" w:color="auto"/>
            </w:tcBorders>
          </w:tcPr>
          <w:p w:rsidR="00CE744A" w:rsidRPr="002D6F6F" w:rsidRDefault="00CE744A"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1.19 </w:t>
            </w:r>
          </w:p>
          <w:p w:rsidR="00CE744A" w:rsidRPr="002D6F6F" w:rsidRDefault="00CE744A" w:rsidP="001B5839">
            <w:pPr>
              <w:spacing w:before="100" w:after="100" w:line="276" w:lineRule="auto"/>
              <w:jc w:val="center"/>
              <w:rPr>
                <w:rFonts w:ascii="Arial" w:hAnsi="Arial" w:cs="Arial"/>
                <w:sz w:val="22"/>
                <w:szCs w:val="22"/>
              </w:rPr>
            </w:pPr>
            <w:r w:rsidRPr="002D6F6F">
              <w:rPr>
                <w:rFonts w:ascii="Arial" w:hAnsi="Arial" w:cs="Arial"/>
                <w:sz w:val="22"/>
                <w:szCs w:val="22"/>
              </w:rPr>
              <w:t>(1.15, 1.22)</w:t>
            </w:r>
          </w:p>
        </w:tc>
      </w:tr>
      <w:tr w:rsidR="00CE744A" w:rsidRPr="002D6F6F" w:rsidTr="001B5839">
        <w:tc>
          <w:tcPr>
            <w:tcW w:w="3168" w:type="dxa"/>
            <w:tcBorders>
              <w:top w:val="single" w:sz="4" w:space="0" w:color="auto"/>
              <w:left w:val="single" w:sz="12" w:space="0" w:color="auto"/>
              <w:bottom w:val="single" w:sz="4" w:space="0" w:color="auto"/>
              <w:right w:val="single" w:sz="12" w:space="0" w:color="auto"/>
            </w:tcBorders>
          </w:tcPr>
          <w:p w:rsidR="00CE744A" w:rsidRPr="002D6F6F" w:rsidRDefault="00CE744A" w:rsidP="001B5839">
            <w:pPr>
              <w:spacing w:before="100" w:after="100" w:line="276" w:lineRule="auto"/>
              <w:rPr>
                <w:rFonts w:ascii="Arial" w:hAnsi="Arial" w:cs="Arial"/>
                <w:b/>
                <w:sz w:val="22"/>
                <w:szCs w:val="22"/>
              </w:rPr>
            </w:pPr>
            <w:r w:rsidRPr="002D6F6F">
              <w:rPr>
                <w:rFonts w:ascii="Arial" w:hAnsi="Arial" w:cs="Arial"/>
                <w:b/>
                <w:sz w:val="22"/>
                <w:szCs w:val="22"/>
              </w:rPr>
              <w:t>30&gt;eGFR≥15 ml/min/1.73 m</w:t>
            </w:r>
            <w:r w:rsidRPr="002D6F6F">
              <w:rPr>
                <w:rFonts w:ascii="Arial" w:hAnsi="Arial" w:cs="Arial"/>
                <w:b/>
                <w:sz w:val="22"/>
                <w:szCs w:val="22"/>
                <w:vertAlign w:val="superscript"/>
              </w:rPr>
              <w:t>2</w:t>
            </w:r>
          </w:p>
        </w:tc>
        <w:tc>
          <w:tcPr>
            <w:tcW w:w="2430" w:type="dxa"/>
            <w:tcBorders>
              <w:top w:val="single" w:sz="4" w:space="0" w:color="auto"/>
              <w:left w:val="single" w:sz="12" w:space="0" w:color="auto"/>
              <w:bottom w:val="single" w:sz="4" w:space="0" w:color="auto"/>
              <w:right w:val="single" w:sz="4" w:space="0" w:color="auto"/>
            </w:tcBorders>
          </w:tcPr>
          <w:p w:rsidR="00CE744A" w:rsidRPr="002D6F6F" w:rsidRDefault="00CE744A"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0.99 </w:t>
            </w:r>
          </w:p>
          <w:p w:rsidR="00CE744A" w:rsidRPr="002D6F6F" w:rsidRDefault="00CE744A" w:rsidP="001B5839">
            <w:pPr>
              <w:spacing w:before="100" w:after="100" w:line="276" w:lineRule="auto"/>
              <w:jc w:val="center"/>
              <w:rPr>
                <w:rFonts w:ascii="Arial" w:hAnsi="Arial" w:cs="Arial"/>
                <w:sz w:val="22"/>
                <w:szCs w:val="22"/>
              </w:rPr>
            </w:pPr>
            <w:r w:rsidRPr="002D6F6F">
              <w:rPr>
                <w:rFonts w:ascii="Arial" w:hAnsi="Arial" w:cs="Arial"/>
                <w:sz w:val="22"/>
                <w:szCs w:val="22"/>
              </w:rPr>
              <w:t>(0.87, 1.11)</w:t>
            </w:r>
          </w:p>
        </w:tc>
        <w:tc>
          <w:tcPr>
            <w:tcW w:w="2520" w:type="dxa"/>
            <w:tcBorders>
              <w:top w:val="single" w:sz="4" w:space="0" w:color="auto"/>
              <w:left w:val="single" w:sz="4" w:space="0" w:color="auto"/>
              <w:bottom w:val="single" w:sz="4" w:space="0" w:color="auto"/>
              <w:right w:val="single" w:sz="12" w:space="0" w:color="auto"/>
            </w:tcBorders>
          </w:tcPr>
          <w:p w:rsidR="00CE744A" w:rsidRPr="002D6F6F" w:rsidRDefault="00CE744A"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1.23 </w:t>
            </w:r>
          </w:p>
          <w:p w:rsidR="00CE744A" w:rsidRPr="002D6F6F" w:rsidRDefault="00CE744A" w:rsidP="001B5839">
            <w:pPr>
              <w:spacing w:before="100" w:after="100" w:line="276" w:lineRule="auto"/>
              <w:jc w:val="center"/>
              <w:rPr>
                <w:rFonts w:ascii="Arial" w:hAnsi="Arial" w:cs="Arial"/>
                <w:sz w:val="22"/>
                <w:szCs w:val="22"/>
              </w:rPr>
            </w:pPr>
            <w:r w:rsidRPr="002D6F6F">
              <w:rPr>
                <w:rFonts w:ascii="Arial" w:hAnsi="Arial" w:cs="Arial"/>
                <w:sz w:val="22"/>
                <w:szCs w:val="22"/>
              </w:rPr>
              <w:t>(1.17, 1.28)</w:t>
            </w:r>
          </w:p>
        </w:tc>
      </w:tr>
      <w:tr w:rsidR="00CE744A" w:rsidRPr="002D6F6F" w:rsidTr="001B5839">
        <w:tc>
          <w:tcPr>
            <w:tcW w:w="3168" w:type="dxa"/>
            <w:tcBorders>
              <w:top w:val="single" w:sz="4" w:space="0" w:color="auto"/>
              <w:left w:val="single" w:sz="12" w:space="0" w:color="auto"/>
              <w:bottom w:val="single" w:sz="12" w:space="0" w:color="auto"/>
              <w:right w:val="single" w:sz="12" w:space="0" w:color="auto"/>
            </w:tcBorders>
          </w:tcPr>
          <w:p w:rsidR="00CE744A" w:rsidRPr="002D6F6F" w:rsidRDefault="00CE744A" w:rsidP="001B5839">
            <w:pPr>
              <w:spacing w:before="100" w:after="100" w:line="276" w:lineRule="auto"/>
              <w:rPr>
                <w:rFonts w:ascii="Arial" w:hAnsi="Arial" w:cs="Arial"/>
                <w:b/>
                <w:sz w:val="22"/>
                <w:szCs w:val="22"/>
              </w:rPr>
            </w:pPr>
            <w:proofErr w:type="spellStart"/>
            <w:r w:rsidRPr="002D6F6F">
              <w:rPr>
                <w:rFonts w:ascii="Arial" w:hAnsi="Arial" w:cs="Arial"/>
                <w:b/>
                <w:sz w:val="22"/>
                <w:szCs w:val="22"/>
              </w:rPr>
              <w:t>eGFR</w:t>
            </w:r>
            <w:proofErr w:type="spellEnd"/>
            <w:r w:rsidRPr="002D6F6F">
              <w:rPr>
                <w:rFonts w:ascii="Arial" w:hAnsi="Arial" w:cs="Arial"/>
                <w:b/>
                <w:sz w:val="22"/>
                <w:szCs w:val="22"/>
              </w:rPr>
              <w:t>&lt;15 ml/min/1.73 m</w:t>
            </w:r>
            <w:r w:rsidRPr="002D6F6F">
              <w:rPr>
                <w:rFonts w:ascii="Arial" w:hAnsi="Arial" w:cs="Arial"/>
                <w:b/>
                <w:sz w:val="22"/>
                <w:szCs w:val="22"/>
                <w:vertAlign w:val="superscript"/>
              </w:rPr>
              <w:t>2</w:t>
            </w:r>
          </w:p>
        </w:tc>
        <w:tc>
          <w:tcPr>
            <w:tcW w:w="2430" w:type="dxa"/>
            <w:tcBorders>
              <w:top w:val="single" w:sz="4" w:space="0" w:color="auto"/>
              <w:left w:val="single" w:sz="12" w:space="0" w:color="auto"/>
              <w:bottom w:val="single" w:sz="12" w:space="0" w:color="auto"/>
              <w:right w:val="single" w:sz="4" w:space="0" w:color="auto"/>
            </w:tcBorders>
          </w:tcPr>
          <w:p w:rsidR="00CE744A" w:rsidRPr="002D6F6F" w:rsidRDefault="00CE744A"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1.48 </w:t>
            </w:r>
          </w:p>
          <w:p w:rsidR="00CE744A" w:rsidRPr="002D6F6F" w:rsidRDefault="00CE744A" w:rsidP="001B5839">
            <w:pPr>
              <w:spacing w:before="100" w:after="100" w:line="276" w:lineRule="auto"/>
              <w:jc w:val="center"/>
              <w:rPr>
                <w:rFonts w:ascii="Arial" w:hAnsi="Arial" w:cs="Arial"/>
                <w:sz w:val="22"/>
                <w:szCs w:val="22"/>
              </w:rPr>
            </w:pPr>
            <w:r w:rsidRPr="002D6F6F">
              <w:rPr>
                <w:rFonts w:ascii="Arial" w:hAnsi="Arial" w:cs="Arial"/>
                <w:sz w:val="22"/>
                <w:szCs w:val="22"/>
              </w:rPr>
              <w:t>(0.86, 2.55)</w:t>
            </w:r>
          </w:p>
        </w:tc>
        <w:tc>
          <w:tcPr>
            <w:tcW w:w="2520" w:type="dxa"/>
            <w:tcBorders>
              <w:top w:val="single" w:sz="4" w:space="0" w:color="auto"/>
              <w:left w:val="single" w:sz="4" w:space="0" w:color="auto"/>
              <w:bottom w:val="single" w:sz="12" w:space="0" w:color="auto"/>
              <w:right w:val="single" w:sz="12" w:space="0" w:color="auto"/>
            </w:tcBorders>
          </w:tcPr>
          <w:p w:rsidR="00CE744A" w:rsidRPr="002D6F6F" w:rsidRDefault="00CE744A"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1.70 </w:t>
            </w:r>
          </w:p>
          <w:p w:rsidR="00CE744A" w:rsidRPr="002D6F6F" w:rsidRDefault="00CE744A" w:rsidP="001B5839">
            <w:pPr>
              <w:spacing w:before="100" w:after="100" w:line="276" w:lineRule="auto"/>
              <w:jc w:val="center"/>
              <w:rPr>
                <w:rFonts w:ascii="Arial" w:hAnsi="Arial" w:cs="Arial"/>
                <w:sz w:val="22"/>
                <w:szCs w:val="22"/>
              </w:rPr>
            </w:pPr>
            <w:r w:rsidRPr="002D6F6F">
              <w:rPr>
                <w:rFonts w:ascii="Arial" w:hAnsi="Arial" w:cs="Arial"/>
                <w:sz w:val="22"/>
                <w:szCs w:val="22"/>
              </w:rPr>
              <w:t>(1.52, 1.89)</w:t>
            </w:r>
          </w:p>
        </w:tc>
      </w:tr>
      <w:tr w:rsidR="00CE744A" w:rsidRPr="002D6F6F" w:rsidTr="001B5839">
        <w:tc>
          <w:tcPr>
            <w:tcW w:w="8118" w:type="dxa"/>
            <w:gridSpan w:val="3"/>
            <w:tcBorders>
              <w:top w:val="single" w:sz="12" w:space="0" w:color="auto"/>
              <w:left w:val="single" w:sz="12" w:space="0" w:color="auto"/>
              <w:bottom w:val="single" w:sz="12" w:space="0" w:color="auto"/>
              <w:right w:val="single" w:sz="12" w:space="0" w:color="auto"/>
            </w:tcBorders>
          </w:tcPr>
          <w:p w:rsidR="00CE744A" w:rsidRPr="002D6F6F" w:rsidRDefault="00CE744A" w:rsidP="001B5839">
            <w:pPr>
              <w:spacing w:before="100" w:after="100" w:line="276" w:lineRule="auto"/>
              <w:rPr>
                <w:rFonts w:ascii="Arial" w:hAnsi="Arial" w:cs="Arial"/>
                <w:sz w:val="22"/>
                <w:szCs w:val="22"/>
              </w:rPr>
            </w:pPr>
            <w:r w:rsidRPr="002D6F6F">
              <w:rPr>
                <w:rFonts w:ascii="Arial" w:hAnsi="Arial" w:cs="Arial"/>
                <w:sz w:val="22"/>
                <w:szCs w:val="22"/>
              </w:rPr>
              <w:t xml:space="preserve">The primary predictor was time-varying combination of BUN and </w:t>
            </w:r>
            <w:proofErr w:type="spellStart"/>
            <w:r w:rsidRPr="002D6F6F">
              <w:rPr>
                <w:rFonts w:ascii="Arial" w:hAnsi="Arial" w:cs="Arial"/>
                <w:sz w:val="22"/>
                <w:szCs w:val="22"/>
              </w:rPr>
              <w:t>eGFR</w:t>
            </w:r>
            <w:proofErr w:type="spellEnd"/>
            <w:r w:rsidRPr="002D6F6F">
              <w:rPr>
                <w:rFonts w:ascii="Arial" w:hAnsi="Arial" w:cs="Arial"/>
                <w:sz w:val="22"/>
                <w:szCs w:val="22"/>
              </w:rPr>
              <w:t xml:space="preserve"> categories. BUN≤25 mg/dL and </w:t>
            </w:r>
            <w:proofErr w:type="spellStart"/>
            <w:r w:rsidRPr="002D6F6F">
              <w:rPr>
                <w:rFonts w:ascii="Arial" w:hAnsi="Arial" w:cs="Arial"/>
                <w:sz w:val="22"/>
                <w:szCs w:val="22"/>
              </w:rPr>
              <w:t>eGFR</w:t>
            </w:r>
            <w:proofErr w:type="spellEnd"/>
            <w:r w:rsidRPr="002D6F6F">
              <w:rPr>
                <w:rFonts w:ascii="Arial" w:hAnsi="Arial" w:cs="Arial"/>
                <w:sz w:val="22"/>
                <w:szCs w:val="22"/>
              </w:rPr>
              <w:t>≥ 60 ml/min/1.73m</w:t>
            </w:r>
            <w:r w:rsidRPr="002D6F6F">
              <w:rPr>
                <w:rFonts w:ascii="Arial" w:hAnsi="Arial" w:cs="Arial"/>
                <w:sz w:val="22"/>
                <w:szCs w:val="22"/>
                <w:vertAlign w:val="superscript"/>
              </w:rPr>
              <w:t xml:space="preserve">2 </w:t>
            </w:r>
            <w:r w:rsidRPr="002D6F6F">
              <w:rPr>
                <w:rFonts w:ascii="Arial" w:hAnsi="Arial" w:cs="Arial"/>
                <w:sz w:val="22"/>
                <w:szCs w:val="22"/>
              </w:rPr>
              <w:t>served as the reference category.</w:t>
            </w:r>
          </w:p>
          <w:p w:rsidR="00CE744A" w:rsidRPr="002D6F6F" w:rsidRDefault="00CE744A" w:rsidP="001B5839">
            <w:pPr>
              <w:spacing w:before="100" w:after="100" w:line="276" w:lineRule="auto"/>
              <w:rPr>
                <w:rFonts w:ascii="Arial" w:hAnsi="Arial" w:cs="Arial"/>
                <w:sz w:val="22"/>
                <w:szCs w:val="22"/>
              </w:rPr>
            </w:pPr>
            <w:r w:rsidRPr="002D6F6F">
              <w:rPr>
                <w:rFonts w:ascii="Arial" w:hAnsi="Arial" w:cs="Arial"/>
                <w:sz w:val="22"/>
                <w:szCs w:val="22"/>
              </w:rPr>
              <w:t>Survival model controlled for time independent variables age, race and gender and time-varying variables carbon dioxide, BMI, albuminuria, frequency of outpatient encounters, frequency of hospitalizations, chronic lung disease, peripheral artery disease, cardiovascular disease, cerebrovascular disease, dementia, hyperlipidemia, hepatitis C, HIV, cancer and use of medications that increase risk of diabetes mellitus</w:t>
            </w:r>
          </w:p>
        </w:tc>
      </w:tr>
    </w:tbl>
    <w:p w:rsidR="00CE744A" w:rsidRPr="002D6F6F" w:rsidRDefault="00CE744A" w:rsidP="00CE744A">
      <w:pPr>
        <w:spacing w:before="100" w:after="100" w:line="276" w:lineRule="auto"/>
        <w:rPr>
          <w:rFonts w:ascii="Calibri" w:hAnsi="Calibri" w:cs="Times New Roman"/>
          <w:sz w:val="22"/>
          <w:szCs w:val="22"/>
        </w:rPr>
      </w:pPr>
    </w:p>
    <w:p w:rsidR="00187C8E" w:rsidRDefault="00CE744A">
      <w:bookmarkStart w:id="0" w:name="_GoBack"/>
      <w:bookmarkEnd w:id="0"/>
    </w:p>
    <w:sectPr w:rsidR="00187C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44A"/>
    <w:rsid w:val="005E4A1D"/>
    <w:rsid w:val="00CE744A"/>
    <w:rsid w:val="00E010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744A"/>
    <w:pPr>
      <w:spacing w:after="0" w:line="240" w:lineRule="auto"/>
    </w:pPr>
    <w:rPr>
      <w:rFonts w:eastAsia="SimSu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744A"/>
    <w:pPr>
      <w:spacing w:after="0" w:line="240" w:lineRule="auto"/>
    </w:pPr>
    <w:rPr>
      <w:rFonts w:eastAsia="SimSu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Words>
  <Characters>1014</Characters>
  <Application>Microsoft Office Word</Application>
  <DocSecurity>0</DocSecurity>
  <Lines>8</Lines>
  <Paragraphs>2</Paragraphs>
  <ScaleCrop>false</ScaleCrop>
  <Company>Reed Elsevier</Company>
  <LinksUpToDate>false</LinksUpToDate>
  <CharactersWithSpaces>1189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Reed Elsevier</dc:creator>
  <cp:lastModifiedBy>Reed Elsevier</cp:lastModifiedBy>
  <cp:revision>1</cp:revision>
  <dcterms:created xsi:type="dcterms:W3CDTF">2017-09-18T19:50:00Z</dcterms:created>
  <dcterms:modified xsi:type="dcterms:W3CDTF">2017-09-18T19:50:00Z</dcterms:modified>
</cp:coreProperties>
</file>