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085" w:rsidRDefault="00810A1D" w:rsidP="00810A1D">
      <w:pPr>
        <w:jc w:val="center"/>
        <w:rPr>
          <w:b/>
        </w:rPr>
      </w:pPr>
      <w:r w:rsidRPr="00810A1D">
        <w:rPr>
          <w:b/>
        </w:rPr>
        <w:t>Explanation of Data Files</w:t>
      </w:r>
    </w:p>
    <w:p w:rsidR="00810A1D" w:rsidRDefault="00810A1D" w:rsidP="00810A1D">
      <w:pPr>
        <w:jc w:val="center"/>
        <w:rPr>
          <w:b/>
        </w:rPr>
      </w:pPr>
    </w:p>
    <w:p w:rsidR="00810A1D" w:rsidRDefault="00810A1D" w:rsidP="00810A1D">
      <w:r>
        <w:t xml:space="preserve">The files “Dom_Output.mat” and “ND_Output.mat” contain activity counts for each of the 8 tasks performed in the manuscript.  Because 30Hz data was </w:t>
      </w:r>
      <w:proofErr w:type="spellStart"/>
      <w:r>
        <w:t>downsampled</w:t>
      </w:r>
      <w:proofErr w:type="spellEnd"/>
      <w:r>
        <w:t xml:space="preserve"> </w:t>
      </w:r>
      <w:r w:rsidR="00803D2A">
        <w:t xml:space="preserve">from 30Hz to 1Hz </w:t>
      </w:r>
      <w:r>
        <w:t xml:space="preserve">by </w:t>
      </w:r>
      <w:proofErr w:type="spellStart"/>
      <w:r>
        <w:t>ActiLife</w:t>
      </w:r>
      <w:proofErr w:type="spellEnd"/>
      <w:r>
        <w:t xml:space="preserve"> 6 proprietary software, the data reflects </w:t>
      </w:r>
      <w:r w:rsidR="00803D2A">
        <w:t>one-second</w:t>
      </w:r>
      <w:r>
        <w:t xml:space="preserve"> samples.   The file “Dom_Output.mat” contains data for the dominant upper extremity, and the file “ND_Output.mat” contains data for the nondominant upper extremity.  </w:t>
      </w:r>
    </w:p>
    <w:p w:rsidR="00810A1D" w:rsidRDefault="00810A1D" w:rsidP="00810A1D"/>
    <w:p w:rsidR="00810A1D" w:rsidRDefault="00810A1D" w:rsidP="00810A1D">
      <w:r>
        <w:t xml:space="preserve">Each file contains a </w:t>
      </w:r>
      <w:r w:rsidR="002B4A7F">
        <w:t>cell array</w:t>
      </w:r>
      <w:r>
        <w:t xml:space="preserve"> with 74 rows and 8 columns.  Each row represents one participant.  Each column represents on</w:t>
      </w:r>
      <w:r w:rsidR="006B162C">
        <w:t>e</w:t>
      </w:r>
      <w:r>
        <w:t xml:space="preserve"> </w:t>
      </w:r>
      <w:r w:rsidR="002B4A7F">
        <w:t>task</w:t>
      </w:r>
      <w:r>
        <w:t xml:space="preserve">.  </w:t>
      </w:r>
      <w:r w:rsidR="002B4A7F">
        <w:t>Individual cells</w:t>
      </w:r>
      <w:r>
        <w:t xml:space="preserve"> </w:t>
      </w:r>
      <w:r w:rsidR="002B4A7F">
        <w:t>contain</w:t>
      </w:r>
      <w:r w:rsidR="006B162C">
        <w:t xml:space="preserve"> </w:t>
      </w:r>
      <w:r w:rsidR="002B4A7F">
        <w:t>samples of</w:t>
      </w:r>
      <w:r w:rsidR="006B162C">
        <w:t xml:space="preserve"> one-second data for a given task and a given participant.</w:t>
      </w:r>
      <w:r w:rsidR="002B4A7F">
        <w:t xml:space="preserve"> Stated another way, each cell contains a matrix of activity counts for each second of activity.</w:t>
      </w:r>
      <w:r w:rsidR="006B162C">
        <w:t xml:space="preserve">    </w:t>
      </w:r>
    </w:p>
    <w:p w:rsidR="002B4A7F" w:rsidRDefault="002B4A7F" w:rsidP="00810A1D"/>
    <w:p w:rsidR="002B4A7F" w:rsidRDefault="002B4A7F" w:rsidP="002B4A7F">
      <w:r>
        <w:t>The table below identifies which task corresponds to which column:</w:t>
      </w:r>
    </w:p>
    <w:p w:rsidR="00DE2741" w:rsidRDefault="00DE2741" w:rsidP="002B4A7F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2B4A7F" w:rsidTr="00DE2741">
        <w:tc>
          <w:tcPr>
            <w:tcW w:w="1197" w:type="dxa"/>
          </w:tcPr>
          <w:p w:rsidR="002B4A7F" w:rsidRPr="00DE2741" w:rsidRDefault="002B4A7F" w:rsidP="002B4A7F">
            <w:pPr>
              <w:jc w:val="center"/>
              <w:rPr>
                <w:b/>
              </w:rPr>
            </w:pPr>
            <w:r w:rsidRPr="00DE2741">
              <w:rPr>
                <w:b/>
              </w:rPr>
              <w:t>Column 1</w:t>
            </w:r>
          </w:p>
        </w:tc>
        <w:tc>
          <w:tcPr>
            <w:tcW w:w="1197" w:type="dxa"/>
          </w:tcPr>
          <w:p w:rsidR="002B4A7F" w:rsidRPr="00DE2741" w:rsidRDefault="002B4A7F" w:rsidP="002B4A7F">
            <w:pPr>
              <w:jc w:val="center"/>
              <w:rPr>
                <w:b/>
              </w:rPr>
            </w:pPr>
            <w:r w:rsidRPr="00DE2741">
              <w:rPr>
                <w:b/>
              </w:rPr>
              <w:t>Column 2</w:t>
            </w:r>
          </w:p>
        </w:tc>
        <w:tc>
          <w:tcPr>
            <w:tcW w:w="1197" w:type="dxa"/>
          </w:tcPr>
          <w:p w:rsidR="002B4A7F" w:rsidRPr="00DE2741" w:rsidRDefault="002B4A7F" w:rsidP="002B4A7F">
            <w:pPr>
              <w:jc w:val="center"/>
              <w:rPr>
                <w:b/>
              </w:rPr>
            </w:pPr>
            <w:r w:rsidRPr="00DE2741">
              <w:rPr>
                <w:b/>
              </w:rPr>
              <w:t>Column 3</w:t>
            </w:r>
          </w:p>
        </w:tc>
        <w:tc>
          <w:tcPr>
            <w:tcW w:w="1197" w:type="dxa"/>
          </w:tcPr>
          <w:p w:rsidR="002B4A7F" w:rsidRPr="00DE2741" w:rsidRDefault="002B4A7F" w:rsidP="002B4A7F">
            <w:pPr>
              <w:jc w:val="center"/>
              <w:rPr>
                <w:b/>
              </w:rPr>
            </w:pPr>
            <w:r w:rsidRPr="00DE2741">
              <w:rPr>
                <w:b/>
              </w:rPr>
              <w:t>Column 4</w:t>
            </w:r>
          </w:p>
        </w:tc>
        <w:tc>
          <w:tcPr>
            <w:tcW w:w="1197" w:type="dxa"/>
          </w:tcPr>
          <w:p w:rsidR="002B4A7F" w:rsidRPr="00DE2741" w:rsidRDefault="002B4A7F" w:rsidP="002B4A7F">
            <w:pPr>
              <w:jc w:val="center"/>
              <w:rPr>
                <w:b/>
              </w:rPr>
            </w:pPr>
            <w:r w:rsidRPr="00DE2741">
              <w:rPr>
                <w:b/>
              </w:rPr>
              <w:t>Column 5</w:t>
            </w:r>
          </w:p>
        </w:tc>
        <w:tc>
          <w:tcPr>
            <w:tcW w:w="1197" w:type="dxa"/>
          </w:tcPr>
          <w:p w:rsidR="002B4A7F" w:rsidRPr="00DE2741" w:rsidRDefault="002B4A7F" w:rsidP="002B4A7F">
            <w:pPr>
              <w:jc w:val="center"/>
              <w:rPr>
                <w:b/>
              </w:rPr>
            </w:pPr>
            <w:r w:rsidRPr="00DE2741">
              <w:rPr>
                <w:b/>
              </w:rPr>
              <w:t>Column 6</w:t>
            </w:r>
          </w:p>
        </w:tc>
        <w:tc>
          <w:tcPr>
            <w:tcW w:w="1197" w:type="dxa"/>
          </w:tcPr>
          <w:p w:rsidR="002B4A7F" w:rsidRPr="00DE2741" w:rsidRDefault="002B4A7F" w:rsidP="002B4A7F">
            <w:pPr>
              <w:jc w:val="center"/>
              <w:rPr>
                <w:b/>
              </w:rPr>
            </w:pPr>
            <w:r w:rsidRPr="00DE2741">
              <w:rPr>
                <w:b/>
              </w:rPr>
              <w:t>Column 7</w:t>
            </w:r>
          </w:p>
        </w:tc>
        <w:tc>
          <w:tcPr>
            <w:tcW w:w="1197" w:type="dxa"/>
          </w:tcPr>
          <w:p w:rsidR="002B4A7F" w:rsidRPr="00DE2741" w:rsidRDefault="002B4A7F" w:rsidP="002B4A7F">
            <w:pPr>
              <w:jc w:val="center"/>
              <w:rPr>
                <w:b/>
              </w:rPr>
            </w:pPr>
            <w:r w:rsidRPr="00DE2741">
              <w:rPr>
                <w:b/>
              </w:rPr>
              <w:t>Column 8</w:t>
            </w:r>
          </w:p>
        </w:tc>
      </w:tr>
      <w:tr w:rsidR="002B4A7F" w:rsidTr="00DE2741">
        <w:tc>
          <w:tcPr>
            <w:tcW w:w="1197" w:type="dxa"/>
          </w:tcPr>
          <w:p w:rsidR="002B4A7F" w:rsidRDefault="002B4A7F" w:rsidP="002B4A7F">
            <w:pPr>
              <w:jc w:val="center"/>
            </w:pPr>
            <w:r>
              <w:t>Shoes</w:t>
            </w:r>
          </w:p>
        </w:tc>
        <w:tc>
          <w:tcPr>
            <w:tcW w:w="1197" w:type="dxa"/>
          </w:tcPr>
          <w:p w:rsidR="002B4A7F" w:rsidRDefault="002B4A7F" w:rsidP="002B4A7F">
            <w:pPr>
              <w:jc w:val="center"/>
            </w:pPr>
            <w:r>
              <w:t>Grooming</w:t>
            </w:r>
          </w:p>
        </w:tc>
        <w:tc>
          <w:tcPr>
            <w:tcW w:w="1197" w:type="dxa"/>
          </w:tcPr>
          <w:p w:rsidR="002B4A7F" w:rsidRDefault="002B4A7F" w:rsidP="002B4A7F">
            <w:pPr>
              <w:jc w:val="center"/>
            </w:pPr>
            <w:r>
              <w:t>Boxes</w:t>
            </w:r>
          </w:p>
        </w:tc>
        <w:tc>
          <w:tcPr>
            <w:tcW w:w="1197" w:type="dxa"/>
          </w:tcPr>
          <w:p w:rsidR="002B4A7F" w:rsidRDefault="002B4A7F" w:rsidP="002B4A7F">
            <w:pPr>
              <w:jc w:val="center"/>
            </w:pPr>
            <w:r>
              <w:t>Cutting</w:t>
            </w:r>
          </w:p>
        </w:tc>
        <w:tc>
          <w:tcPr>
            <w:tcW w:w="1197" w:type="dxa"/>
          </w:tcPr>
          <w:p w:rsidR="002B4A7F" w:rsidRDefault="002B4A7F" w:rsidP="002B4A7F">
            <w:pPr>
              <w:jc w:val="center"/>
            </w:pPr>
            <w:r>
              <w:t>Towels</w:t>
            </w:r>
          </w:p>
        </w:tc>
        <w:tc>
          <w:tcPr>
            <w:tcW w:w="1197" w:type="dxa"/>
          </w:tcPr>
          <w:p w:rsidR="002B4A7F" w:rsidRDefault="002B4A7F" w:rsidP="002B4A7F">
            <w:pPr>
              <w:jc w:val="center"/>
            </w:pPr>
            <w:r>
              <w:t>Sorting</w:t>
            </w:r>
          </w:p>
        </w:tc>
        <w:tc>
          <w:tcPr>
            <w:tcW w:w="1197" w:type="dxa"/>
          </w:tcPr>
          <w:p w:rsidR="002B4A7F" w:rsidRDefault="002B4A7F" w:rsidP="002B4A7F">
            <w:pPr>
              <w:jc w:val="center"/>
            </w:pPr>
            <w:r>
              <w:t>Typing</w:t>
            </w:r>
          </w:p>
        </w:tc>
        <w:tc>
          <w:tcPr>
            <w:tcW w:w="1197" w:type="dxa"/>
          </w:tcPr>
          <w:p w:rsidR="002B4A7F" w:rsidRDefault="002B4A7F" w:rsidP="002B4A7F">
            <w:pPr>
              <w:jc w:val="center"/>
            </w:pPr>
            <w:r>
              <w:t>Writing</w:t>
            </w:r>
          </w:p>
        </w:tc>
      </w:tr>
    </w:tbl>
    <w:p w:rsidR="002B4A7F" w:rsidRDefault="002B4A7F" w:rsidP="00810A1D"/>
    <w:p w:rsidR="002B4A7F" w:rsidRDefault="002B4A7F" w:rsidP="00810A1D">
      <w:r>
        <w:t>As indicated in the manuscript, typing and sorting tasks were complete</w:t>
      </w:r>
      <w:r w:rsidR="00DE2741">
        <w:t>d</w:t>
      </w:r>
      <w:r>
        <w:t xml:space="preserve"> bilaterally by some participants, and unilaterally by other participants.  The table below identifies </w:t>
      </w:r>
      <w:r w:rsidR="00803D2A">
        <w:t>which participants completed the tasks unilaterally versus bilaterally:</w:t>
      </w:r>
    </w:p>
    <w:p w:rsidR="00DE2741" w:rsidRDefault="00DE2741" w:rsidP="00810A1D"/>
    <w:tbl>
      <w:tblPr>
        <w:tblW w:w="7215" w:type="dxa"/>
        <w:tblInd w:w="93" w:type="dxa"/>
        <w:tblLook w:val="04A0"/>
      </w:tblPr>
      <w:tblGrid>
        <w:gridCol w:w="1720"/>
        <w:gridCol w:w="1700"/>
        <w:gridCol w:w="285"/>
        <w:gridCol w:w="1335"/>
        <w:gridCol w:w="375"/>
        <w:gridCol w:w="1405"/>
        <w:gridCol w:w="395"/>
      </w:tblGrid>
      <w:tr w:rsidR="00DE2741" w:rsidRPr="00DE2741" w:rsidTr="00DE2741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b/>
                <w:color w:val="000000"/>
              </w:rPr>
              <w:t>Bilateral Sorting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b/>
                <w:color w:val="000000"/>
              </w:rPr>
              <w:t>Unil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a</w:t>
            </w:r>
            <w:r w:rsidRPr="00DE2741">
              <w:rPr>
                <w:rFonts w:ascii="Calibri" w:eastAsia="Times New Roman" w:hAnsi="Calibri" w:cs="Times New Roman"/>
                <w:b/>
                <w:color w:val="000000"/>
              </w:rPr>
              <w:t>teral Sorting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b/>
                <w:color w:val="000000"/>
              </w:rPr>
              <w:t>Bilateral Typing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b/>
                <w:color w:val="000000"/>
              </w:rPr>
              <w:t>Unilateral Typing</w:t>
            </w: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69</w:t>
            </w: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lastRenderedPageBreak/>
              <w:t>21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69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61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71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72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73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61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71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72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73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2741" w:rsidRPr="00DE2741" w:rsidTr="00DE2741">
        <w:trPr>
          <w:gridAfter w:val="1"/>
          <w:wAfter w:w="395" w:type="dxa"/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E2741"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741" w:rsidRPr="00DE2741" w:rsidRDefault="00DE2741" w:rsidP="00DE2741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2B4A7F" w:rsidRDefault="002B4A7F" w:rsidP="00810A1D"/>
    <w:p w:rsidR="00DE2741" w:rsidRPr="00810A1D" w:rsidRDefault="00DE2741" w:rsidP="00810A1D">
      <w:r>
        <w:t xml:space="preserve">Please contact the corresponding author, Catherine E. Lang, PT, PhD, with questions: </w:t>
      </w:r>
      <w:r w:rsidRPr="00DE2741">
        <w:t>langc@wustl.edu</w:t>
      </w:r>
      <w:r>
        <w:t>.</w:t>
      </w:r>
    </w:p>
    <w:sectPr w:rsidR="00DE2741" w:rsidRPr="00810A1D" w:rsidSect="003730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0A1D"/>
    <w:rsid w:val="00110931"/>
    <w:rsid w:val="002474C9"/>
    <w:rsid w:val="002B4A7F"/>
    <w:rsid w:val="00373085"/>
    <w:rsid w:val="006B162C"/>
    <w:rsid w:val="00803D2A"/>
    <w:rsid w:val="00810A1D"/>
    <w:rsid w:val="009272F9"/>
    <w:rsid w:val="0099616F"/>
    <w:rsid w:val="00DE2741"/>
    <w:rsid w:val="00FD7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0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4A7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3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baileyr</dc:creator>
  <cp:lastModifiedBy>baileyr</cp:lastModifiedBy>
  <cp:revision>3</cp:revision>
  <dcterms:created xsi:type="dcterms:W3CDTF">2014-05-27T17:43:00Z</dcterms:created>
  <dcterms:modified xsi:type="dcterms:W3CDTF">2014-05-27T20:03:00Z</dcterms:modified>
</cp:coreProperties>
</file>