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TableGrid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26"/>
        <w:gridCol w:w="392"/>
        <w:gridCol w:w="963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5142C3" w:rsidRPr="00AE2D07" w:rsidTr="00C73396">
        <w:trPr>
          <w:gridBefore w:val="1"/>
          <w:wBefore w:w="1026" w:type="dxa"/>
          <w:trHeight w:val="3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42C3" w:rsidRPr="00AE2D07" w:rsidRDefault="005142C3" w:rsidP="00C73396">
            <w:pPr>
              <w:spacing w:after="0" w:line="48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42C3" w:rsidRPr="00AE2D07" w:rsidRDefault="005142C3" w:rsidP="00C73396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Variable</w:t>
            </w:r>
          </w:p>
        </w:tc>
      </w:tr>
      <w:tr w:rsidR="005142C3" w:rsidRPr="00AE2D07" w:rsidTr="00C73396">
        <w:trPr>
          <w:gridBefore w:val="1"/>
          <w:wBefore w:w="1026" w:type="dxa"/>
          <w:trHeight w:val="483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42C3" w:rsidRPr="00AE2D07" w:rsidRDefault="005142C3" w:rsidP="00C73396">
            <w:pPr>
              <w:spacing w:after="0" w:line="48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Serum Hemoglobin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Serum CRP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Subject Age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Smoking Pack-Year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2D07">
              <w:rPr>
                <w:rFonts w:ascii="Times New Roman" w:hAnsi="Times New Roman"/>
                <w:b/>
              </w:rPr>
              <w:t>KCO</w:t>
            </w:r>
          </w:p>
        </w:tc>
      </w:tr>
      <w:tr w:rsidR="005142C3" w:rsidRPr="00AE2D07" w:rsidTr="00C73396">
        <w:trPr>
          <w:gridBefore w:val="1"/>
          <w:wBefore w:w="1026" w:type="dxa"/>
          <w:trHeight w:val="248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fr-FR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R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42C3" w:rsidRPr="00AE2D07" w:rsidRDefault="005142C3" w:rsidP="00C73396">
            <w:pPr>
              <w:spacing w:line="240" w:lineRule="auto"/>
              <w:jc w:val="center"/>
              <w:rPr>
                <w:rFonts w:asciiTheme="majorHAnsi" w:eastAsia="Times New Roman" w:hAnsiTheme="majorHAnsi"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i/>
                <w:lang w:eastAsia="fr-FR"/>
              </w:rPr>
              <w:t>P value</w:t>
            </w:r>
            <w:r w:rsidRPr="00AE2D07">
              <w:rPr>
                <w:rFonts w:asciiTheme="majorHAnsi" w:eastAsia="Times New Roman" w:hAnsiTheme="majorHAnsi"/>
                <w:i/>
                <w:vertAlign w:val="superscript"/>
                <w:lang w:eastAsia="fr-FR"/>
              </w:rPr>
              <w:t>2</w:t>
            </w:r>
          </w:p>
        </w:tc>
      </w:tr>
      <w:tr w:rsidR="005142C3" w:rsidRPr="00AE2D07" w:rsidTr="00C73396">
        <w:trPr>
          <w:trHeight w:val="54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Transferrin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- 0.011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0.96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-0.14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0.52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- 0.13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0.53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- 0.43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i/>
                <w:lang w:eastAsia="fr-FR"/>
              </w:rPr>
              <w:t>0.030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O.43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ind w:right="-108"/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i/>
                <w:lang w:eastAsia="fr-FR"/>
              </w:rPr>
              <w:t>0.046</w:t>
            </w:r>
          </w:p>
        </w:tc>
      </w:tr>
      <w:tr w:rsidR="005142C3" w:rsidRPr="00AE2D07" w:rsidTr="00C73396">
        <w:trPr>
          <w:trHeight w:val="56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Transferrin Receptor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0.11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0.61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-0.067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0.75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0.27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0.19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0.059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Cs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Cs/>
                <w:lang w:eastAsia="fr-FR"/>
              </w:rPr>
              <w:t>0.77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tabs>
                <w:tab w:val="left" w:pos="544"/>
                <w:tab w:val="left" w:pos="748"/>
              </w:tabs>
              <w:ind w:right="-80"/>
              <w:jc w:val="center"/>
              <w:rPr>
                <w:rFonts w:asciiTheme="majorHAnsi" w:eastAsia="Times New Roman" w:hAnsiTheme="majorHAnsi"/>
                <w:bCs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Cs/>
                <w:lang w:eastAsia="fr-FR"/>
              </w:rPr>
              <w:t>0.015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tabs>
                <w:tab w:val="left" w:pos="748"/>
              </w:tabs>
              <w:ind w:right="-108"/>
              <w:jc w:val="center"/>
              <w:rPr>
                <w:rFonts w:asciiTheme="majorHAnsi" w:eastAsia="Times New Roman" w:hAnsiTheme="majorHAnsi"/>
                <w:bCs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Cs/>
                <w:lang w:eastAsia="fr-FR"/>
              </w:rPr>
              <w:t>0.95</w:t>
            </w:r>
          </w:p>
        </w:tc>
      </w:tr>
      <w:tr w:rsidR="005142C3" w:rsidRPr="00AE2D07" w:rsidTr="00C73396">
        <w:trPr>
          <w:trHeight w:val="280"/>
        </w:trPr>
        <w:tc>
          <w:tcPr>
            <w:tcW w:w="1418" w:type="dxa"/>
            <w:gridSpan w:val="2"/>
            <w:tcBorders>
              <w:top w:val="single" w:sz="4" w:space="0" w:color="auto"/>
            </w:tcBorders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Ferritin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- 0.13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0.55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0.007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0.97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0.18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0.39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0.535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i/>
                <w:lang w:eastAsia="fr-FR"/>
              </w:rPr>
              <w:t>0.0049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-0.11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0.63</w:t>
            </w:r>
          </w:p>
        </w:tc>
      </w:tr>
      <w:tr w:rsidR="005142C3" w:rsidRPr="00AE2D07" w:rsidTr="00C73396">
        <w:trPr>
          <w:trHeight w:val="56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Ferroportin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- 0.13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0.54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-0.086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0.68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- 0.098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0.63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- 0.004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0.99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0.32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0.15</w:t>
            </w:r>
          </w:p>
        </w:tc>
      </w:tr>
      <w:tr w:rsidR="005142C3" w:rsidRPr="00AE2D07" w:rsidTr="00C73396">
        <w:trPr>
          <w:trHeight w:val="547"/>
        </w:trPr>
        <w:tc>
          <w:tcPr>
            <w:tcW w:w="1418" w:type="dxa"/>
            <w:gridSpan w:val="2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b/>
                <w:bCs/>
                <w:lang w:eastAsia="fr-FR"/>
              </w:rPr>
              <w:t>IREB2</w:t>
            </w:r>
          </w:p>
        </w:tc>
        <w:tc>
          <w:tcPr>
            <w:tcW w:w="963" w:type="dxa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- 0.23</w:t>
            </w: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-0.16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0.45</w:t>
            </w:r>
          </w:p>
        </w:tc>
        <w:tc>
          <w:tcPr>
            <w:tcW w:w="964" w:type="dxa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0.55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shd w:val="clear" w:color="auto" w:fill="FFFFFF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b/>
                <w:bCs/>
                <w:i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b/>
                <w:bCs/>
                <w:i/>
                <w:lang w:eastAsia="fr-FR"/>
              </w:rPr>
              <w:t>0.004</w:t>
            </w:r>
          </w:p>
        </w:tc>
        <w:tc>
          <w:tcPr>
            <w:tcW w:w="964" w:type="dxa"/>
            <w:shd w:val="clear" w:color="auto" w:fill="E0E0E0"/>
            <w:vAlign w:val="bottom"/>
          </w:tcPr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- 0.21</w:t>
            </w:r>
          </w:p>
          <w:p w:rsidR="005142C3" w:rsidRPr="00AE2D07" w:rsidRDefault="005142C3" w:rsidP="00C73396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lang w:eastAsia="fr-FR"/>
              </w:rPr>
            </w:pPr>
          </w:p>
        </w:tc>
        <w:tc>
          <w:tcPr>
            <w:tcW w:w="964" w:type="dxa"/>
            <w:tcBorders>
              <w:right w:val="single" w:sz="4" w:space="0" w:color="auto"/>
            </w:tcBorders>
            <w:shd w:val="clear" w:color="auto" w:fill="E0E0E0"/>
            <w:vAlign w:val="bottom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0.29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42C3" w:rsidRPr="00AE2D07" w:rsidRDefault="005142C3" w:rsidP="00C73396">
            <w:pPr>
              <w:jc w:val="center"/>
              <w:rPr>
                <w:rFonts w:asciiTheme="majorHAnsi" w:eastAsia="Times New Roman" w:hAnsiTheme="majorHAnsi"/>
                <w:lang w:eastAsia="fr-FR"/>
              </w:rPr>
            </w:pPr>
            <w:r w:rsidRPr="00AE2D07">
              <w:rPr>
                <w:rFonts w:asciiTheme="majorHAnsi" w:eastAsia="Times New Roman" w:hAnsiTheme="majorHAnsi"/>
                <w:lang w:eastAsia="fr-FR"/>
              </w:rPr>
              <w:t>0.19</w:t>
            </w:r>
          </w:p>
        </w:tc>
      </w:tr>
    </w:tbl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AE2D07">
        <w:rPr>
          <w:rFonts w:eastAsia="Times New Roman"/>
          <w:i/>
          <w:vertAlign w:val="superscript"/>
          <w:lang w:eastAsia="fr-FR"/>
        </w:rPr>
        <w:t>1</w:t>
      </w:r>
      <w:r w:rsidRPr="00AE2D07">
        <w:rPr>
          <w:rFonts w:eastAsia="Times New Roman"/>
          <w:lang w:eastAsia="fr-FR"/>
        </w:rPr>
        <w:t xml:space="preserve">Spearman Rho; </w:t>
      </w:r>
      <w:r w:rsidRPr="00AE2D07">
        <w:rPr>
          <w:rFonts w:eastAsia="Times New Roman"/>
          <w:i/>
          <w:vertAlign w:val="superscript"/>
          <w:lang w:eastAsia="fr-FR"/>
        </w:rPr>
        <w:t>2</w:t>
      </w:r>
      <w:r w:rsidRPr="00AE2D07">
        <w:rPr>
          <w:rFonts w:eastAsia="Times New Roman"/>
          <w:lang w:eastAsia="fr-FR"/>
        </w:rPr>
        <w:t xml:space="preserve"> P-value of Spearman rank correlation.</w:t>
      </w:r>
      <w:proofErr w:type="gramEnd"/>
    </w:p>
    <w:p w:rsidR="005142C3" w:rsidRPr="00AE2D07" w:rsidRDefault="005142C3" w:rsidP="005142C3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S3: Relationships between expression of iron metabolism-related mRNAs age, smoking pack years, and KCO, but not serum variables.</w:t>
      </w:r>
    </w:p>
    <w:p w:rsidR="001A179B" w:rsidRDefault="001A179B"/>
    <w:sectPr w:rsidR="001A179B" w:rsidSect="001A17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C3"/>
    <w:rsid w:val="001A179B"/>
    <w:rsid w:val="004433D7"/>
    <w:rsid w:val="0051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C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2C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</dc:creator>
  <cp:lastModifiedBy>Potts, Nathaniel</cp:lastModifiedBy>
  <cp:revision>2</cp:revision>
  <dcterms:created xsi:type="dcterms:W3CDTF">2014-06-08T22:08:00Z</dcterms:created>
  <dcterms:modified xsi:type="dcterms:W3CDTF">2014-06-08T22:08:00Z</dcterms:modified>
</cp:coreProperties>
</file>