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AA" w:rsidRDefault="00AB53AA" w:rsidP="00AB53AA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Table S1. </w:t>
      </w:r>
      <w:proofErr w:type="spellStart"/>
      <w:r w:rsidRPr="00FA04C9">
        <w:rPr>
          <w:rFonts w:ascii="Arial" w:hAnsi="Arial" w:cs="Arial"/>
          <w:i/>
        </w:rPr>
        <w:t>Wuchereria</w:t>
      </w:r>
      <w:proofErr w:type="spellEnd"/>
      <w:r w:rsidRPr="00FA04C9">
        <w:rPr>
          <w:rFonts w:ascii="Arial" w:hAnsi="Arial" w:cs="Arial"/>
          <w:i/>
        </w:rPr>
        <w:t xml:space="preserve"> </w:t>
      </w:r>
      <w:proofErr w:type="spellStart"/>
      <w:r w:rsidRPr="00FA04C9">
        <w:rPr>
          <w:rFonts w:ascii="Arial" w:hAnsi="Arial" w:cs="Arial"/>
          <w:i/>
        </w:rPr>
        <w:t>bancrofti</w:t>
      </w:r>
      <w:proofErr w:type="spellEnd"/>
      <w:r>
        <w:rPr>
          <w:rFonts w:ascii="Arial" w:hAnsi="Arial" w:cs="Arial"/>
        </w:rPr>
        <w:t xml:space="preserve"> infection prevalence in 12 </w:t>
      </w:r>
      <w:r w:rsidR="00DE6AE8">
        <w:rPr>
          <w:rFonts w:ascii="Arial" w:hAnsi="Arial" w:cs="Arial"/>
        </w:rPr>
        <w:t>Medical Officer of Health</w:t>
      </w:r>
      <w:r>
        <w:rPr>
          <w:rFonts w:ascii="Arial" w:hAnsi="Arial" w:cs="Arial"/>
        </w:rPr>
        <w:t xml:space="preserve"> (MOH) areas in the coastal Galle EU by adult-TAS and school-TAS </w:t>
      </w:r>
    </w:p>
    <w:tbl>
      <w:tblPr>
        <w:tblpPr w:leftFromText="180" w:rightFromText="180" w:vertAnchor="page" w:horzAnchor="margin" w:tblpY="2596"/>
        <w:tblW w:w="12153" w:type="dxa"/>
        <w:tblLook w:val="04A0" w:firstRow="1" w:lastRow="0" w:firstColumn="1" w:lastColumn="0" w:noHBand="0" w:noVBand="1"/>
      </w:tblPr>
      <w:tblGrid>
        <w:gridCol w:w="1941"/>
        <w:gridCol w:w="602"/>
        <w:gridCol w:w="1200"/>
        <w:gridCol w:w="2006"/>
        <w:gridCol w:w="2851"/>
        <w:gridCol w:w="1350"/>
        <w:gridCol w:w="2793"/>
      </w:tblGrid>
      <w:tr w:rsidR="00AB53AA" w:rsidRPr="00CE7B55" w:rsidTr="006E1D10">
        <w:trPr>
          <w:trHeight w:val="387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MOH areas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6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Adult-TAS (2015 survey)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School-TAS (2013 survey)</w:t>
            </w:r>
          </w:p>
        </w:tc>
      </w:tr>
      <w:tr w:rsidR="00AB53AA" w:rsidRPr="00CE7B55" w:rsidTr="006E1D10">
        <w:trPr>
          <w:trHeight w:val="739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Number of EAs surveyed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 xml:space="preserve">Average EA population </w:t>
            </w: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br/>
              <w:t>size (range)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CFA prevalence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*</w:t>
            </w: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 xml:space="preserve"> </w:t>
            </w: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br/>
              <w:t>Positive/Total (%, 95% CI)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 xml:space="preserve">Number of Schools 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surveyed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CFA prevalence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*</w:t>
            </w: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 xml:space="preserve"> </w:t>
            </w: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br/>
              <w:t>Positive/Total (%, 95% CI)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Akmeemana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3802 (2335-6084)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7/362 (2, 0.9-4.0)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0/62 (0, 0-0.5)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Ambalangoda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3337 (2545-4531)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7/361 (1.9, 0.9-3.9)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1/195 (0.5, 0-0.28)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Balapitiya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3413 (2260-4518)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9/356 (2.5, 1.3-4.7)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2/98 (2, 0.5-7)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Bope</w:t>
            </w:r>
            <w:proofErr w:type="spellEnd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 xml:space="preserve"> </w:t>
            </w: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Poddala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4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3625 (3200-4270)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2/240 (0.8, 0.2-2.9)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0/135 (0, 0-2.7)</w:t>
            </w:r>
          </w:p>
        </w:tc>
      </w:tr>
      <w:tr w:rsidR="00AB53AA" w:rsidRPr="00CE7B55" w:rsidTr="006E1D10">
        <w:trPr>
          <w:trHeight w:val="354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Elpitiya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7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2835 (1848-3930)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3/424 (0.7, 0.2-2.0)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0/182 (0, 0-2.0)</w:t>
            </w:r>
          </w:p>
        </w:tc>
      </w:tr>
      <w:tr w:rsidR="00AB53AA" w:rsidRPr="00CE7B55" w:rsidTr="006E1D10">
        <w:trPr>
          <w:trHeight w:val="354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Galle MC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6804 (3470-8205)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16/357 (4.5, 2.8-7.1)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3/245 (1.2, 0.4-3.5)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Gonapinuwala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3109 (2960-3259)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0/123, 0-3.0)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0/10 (0, 0-27)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Habaraduwa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5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2946 (1993-3499)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9/303 (3.0, 1.6-5.5)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1/125 (0.8, 0.1-4.4)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Hikkaduwa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5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3491 (2818-4248)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7/299 (2.3, 1.1-4.7)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5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0/121 (0, 0-3)</w:t>
            </w:r>
          </w:p>
        </w:tc>
      </w:tr>
      <w:tr w:rsidR="00AB53AA" w:rsidRPr="00CE7B55" w:rsidTr="006E1D10">
        <w:trPr>
          <w:trHeight w:val="354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F7136C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</w:rPr>
              <w:t>Bentota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</w:rPr>
              <w:t>/</w:t>
            </w:r>
            <w:proofErr w:type="spellStart"/>
            <w:r w:rsidR="00AB53AA" w:rsidRPr="00CE7B55">
              <w:rPr>
                <w:rFonts w:ascii="Arial" w:eastAsia="Times New Roman" w:hAnsi="Arial" w:cs="Arial"/>
                <w:color w:val="000000"/>
                <w:sz w:val="22"/>
              </w:rPr>
              <w:t>Induruwa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5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3095 (2750-3382)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2/304 (0.7, 0.2-2.4)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0/141 (0, 0-2.6)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Karandeniya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4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3266 (1876-4380)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0/244, 0-1.5)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4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0/238 (0, 0-1.6)</w:t>
            </w:r>
          </w:p>
        </w:tc>
      </w:tr>
      <w:tr w:rsidR="00AB53AA" w:rsidRPr="00CE7B55" w:rsidTr="006E1D10">
        <w:trPr>
          <w:trHeight w:val="354"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Rathgama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4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3294 (1885-3803)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2/239 (0.8, 0.2-3.0)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0/5 (0, 0-43)</w:t>
            </w:r>
          </w:p>
        </w:tc>
      </w:tr>
      <w:tr w:rsidR="00AB53AA" w:rsidRPr="00CE7B55" w:rsidTr="006E1D10">
        <w:trPr>
          <w:trHeight w:val="354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 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64/3612 (1.8, 1.4-2.2)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31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3AA" w:rsidRPr="00CE7B55" w:rsidRDefault="00AB53AA" w:rsidP="006E1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CE7B55">
              <w:rPr>
                <w:rFonts w:ascii="Arial" w:eastAsia="Times New Roman" w:hAnsi="Arial" w:cs="Arial"/>
                <w:color w:val="000000"/>
                <w:sz w:val="22"/>
              </w:rPr>
              <w:t>7/1557 (0.4, 0.2-0.9)</w:t>
            </w:r>
          </w:p>
        </w:tc>
      </w:tr>
    </w:tbl>
    <w:p w:rsidR="00AB53AA" w:rsidRDefault="00AB53AA" w:rsidP="00AB53AA">
      <w:pPr>
        <w:rPr>
          <w:rFonts w:ascii="Arial" w:hAnsi="Arial" w:cs="Arial"/>
        </w:rPr>
      </w:pPr>
    </w:p>
    <w:p w:rsidR="003D5357" w:rsidRDefault="00AB53AA" w:rsidP="00AB53AA">
      <w:r>
        <w:rPr>
          <w:rFonts w:ascii="Arial" w:hAnsi="Arial" w:cs="Arial"/>
        </w:rPr>
        <w:t xml:space="preserve">TAS, Transmission Assessment Survey. EAs, evaluation areas. CFA, circulating filarial antigen. *, CFA prevalence (%) was determined by the </w:t>
      </w:r>
      <w:proofErr w:type="spellStart"/>
      <w:r w:rsidRPr="002F7AAB">
        <w:rPr>
          <w:rFonts w:ascii="Arial" w:hAnsi="Arial" w:cs="Arial"/>
        </w:rPr>
        <w:t>Alere</w:t>
      </w:r>
      <w:proofErr w:type="spellEnd"/>
      <w:r>
        <w:rPr>
          <w:rFonts w:ascii="Arial" w:hAnsi="Arial" w:cs="Arial"/>
        </w:rPr>
        <w:t xml:space="preserve">-FTS test for adult-TAS and by the </w:t>
      </w:r>
      <w:proofErr w:type="spellStart"/>
      <w:r>
        <w:rPr>
          <w:rFonts w:ascii="Arial" w:hAnsi="Arial" w:cs="Arial"/>
        </w:rPr>
        <w:t>Binax</w:t>
      </w:r>
      <w:proofErr w:type="spellEnd"/>
      <w:r>
        <w:rPr>
          <w:rFonts w:ascii="Arial" w:hAnsi="Arial" w:cs="Arial"/>
        </w:rPr>
        <w:t xml:space="preserve"> NOW </w:t>
      </w:r>
      <w:proofErr w:type="spellStart"/>
      <w:r>
        <w:rPr>
          <w:rFonts w:ascii="Arial" w:hAnsi="Arial" w:cs="Arial"/>
        </w:rPr>
        <w:t>Filariasis</w:t>
      </w:r>
      <w:proofErr w:type="spellEnd"/>
      <w:r>
        <w:rPr>
          <w:rFonts w:ascii="Arial" w:hAnsi="Arial" w:cs="Arial"/>
        </w:rPr>
        <w:t xml:space="preserve"> card test for school-TAS.</w:t>
      </w:r>
    </w:p>
    <w:sectPr w:rsidR="003D5357" w:rsidSect="00AB53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AA"/>
    <w:rsid w:val="003D5357"/>
    <w:rsid w:val="00592C48"/>
    <w:rsid w:val="00642698"/>
    <w:rsid w:val="00AA3B09"/>
    <w:rsid w:val="00AB53AA"/>
    <w:rsid w:val="00BE0E49"/>
    <w:rsid w:val="00DE6AE8"/>
    <w:rsid w:val="00F7136C"/>
    <w:rsid w:val="00FE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2A5078-0308-4425-B769-D2319F69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Ramakrishna</dc:creator>
  <cp:keywords/>
  <dc:description/>
  <cp:lastModifiedBy>Rao, Ramakrishna</cp:lastModifiedBy>
  <cp:revision>2</cp:revision>
  <dcterms:created xsi:type="dcterms:W3CDTF">2019-02-20T23:02:00Z</dcterms:created>
  <dcterms:modified xsi:type="dcterms:W3CDTF">2019-02-20T23:02:00Z</dcterms:modified>
</cp:coreProperties>
</file>