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 = '1.0' encoding = 'UTF-8' standalone = '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46" w:rsidRDefault="00C64746" w:rsidP="00C64746">
      <w:pPr>
        <w:spacing w:line="276" w:lineRule="auto"/>
        <w:rPr>
          <w:noProof/>
          <w:sz w:val="28"/>
          <w:lang w:val="en-US"/>
        </w:rPr>
      </w:pPr>
      <w:r w:rsidRPr="001C136F">
        <w:rPr>
          <w:noProof/>
          <w:sz w:val="28"/>
          <w:lang w:val="en-US"/>
        </w:rPr>
        <w:t>GloPID-R report on Chikungunya, O’nyong-nyong and Mayaro virus, part I: biological diagnostics</w:t>
      </w:r>
    </w:p>
    <w:p w:rsidR="00C64746" w:rsidRPr="001C136F" w:rsidRDefault="00C64746" w:rsidP="00C64746">
      <w:pPr>
        <w:spacing w:line="276" w:lineRule="auto"/>
        <w:rPr>
          <w:noProof/>
          <w:sz w:val="16"/>
          <w:lang w:val="en-US"/>
        </w:rPr>
      </w:pPr>
    </w:p>
    <w:p w:rsidR="00C64746" w:rsidRPr="009C1F59" w:rsidRDefault="00C64746" w:rsidP="00C64746">
      <w:pPr>
        <w:spacing w:line="276" w:lineRule="auto"/>
        <w:rPr>
          <w:bCs/>
          <w:noProof/>
          <w:sz w:val="20"/>
          <w:lang w:val="en-GB"/>
        </w:rPr>
      </w:pPr>
      <w:r w:rsidRPr="009C1F59">
        <w:rPr>
          <w:bCs/>
          <w:noProof/>
          <w:sz w:val="20"/>
          <w:lang w:val="en-GB"/>
        </w:rPr>
        <w:t>Pezzi L</w:t>
      </w:r>
      <w:r w:rsidRPr="009C1F59">
        <w:rPr>
          <w:bCs/>
          <w:noProof/>
          <w:sz w:val="20"/>
          <w:vertAlign w:val="superscript"/>
          <w:lang w:val="en-GB"/>
        </w:rPr>
        <w:t>1,2</w:t>
      </w:r>
      <w:r w:rsidRPr="009C1F59">
        <w:rPr>
          <w:bCs/>
          <w:noProof/>
          <w:sz w:val="20"/>
          <w:lang w:val="en-GB"/>
        </w:rPr>
        <w:t>, Reusken CB</w:t>
      </w:r>
      <w:r w:rsidRPr="009C1F59">
        <w:rPr>
          <w:bCs/>
          <w:noProof/>
          <w:sz w:val="20"/>
          <w:vertAlign w:val="superscript"/>
          <w:lang w:val="en-GB"/>
        </w:rPr>
        <w:t>3,4</w:t>
      </w:r>
      <w:r w:rsidRPr="009C1F59">
        <w:rPr>
          <w:bCs/>
          <w:noProof/>
          <w:sz w:val="20"/>
          <w:lang w:val="en-GB"/>
        </w:rPr>
        <w:t>, Weaver SC</w:t>
      </w:r>
      <w:r w:rsidRPr="009C1F59">
        <w:rPr>
          <w:bCs/>
          <w:noProof/>
          <w:sz w:val="20"/>
          <w:vertAlign w:val="superscript"/>
          <w:lang w:val="en-GB"/>
        </w:rPr>
        <w:t>5</w:t>
      </w:r>
      <w:r w:rsidRPr="009C1F59">
        <w:rPr>
          <w:bCs/>
          <w:noProof/>
          <w:sz w:val="20"/>
          <w:lang w:val="en-GB"/>
        </w:rPr>
        <w:t>, Drexler JF</w:t>
      </w:r>
      <w:r w:rsidRPr="009C1F59">
        <w:rPr>
          <w:bCs/>
          <w:noProof/>
          <w:sz w:val="20"/>
          <w:vertAlign w:val="superscript"/>
          <w:lang w:val="en-GB"/>
        </w:rPr>
        <w:t>6,7</w:t>
      </w:r>
      <w:r w:rsidRPr="009C1F59">
        <w:rPr>
          <w:bCs/>
          <w:noProof/>
          <w:sz w:val="20"/>
          <w:lang w:val="en-GB"/>
        </w:rPr>
        <w:t>, Busch M</w:t>
      </w:r>
      <w:r w:rsidRPr="009C1F59">
        <w:rPr>
          <w:bCs/>
          <w:noProof/>
          <w:sz w:val="20"/>
          <w:vertAlign w:val="superscript"/>
          <w:lang w:val="en-GB"/>
        </w:rPr>
        <w:t>8</w:t>
      </w:r>
      <w:r w:rsidRPr="009C1F59">
        <w:rPr>
          <w:bCs/>
          <w:noProof/>
          <w:sz w:val="20"/>
          <w:lang w:val="en-GB"/>
        </w:rPr>
        <w:t>, LaBeaud AD</w:t>
      </w:r>
      <w:r w:rsidRPr="009C1F59">
        <w:rPr>
          <w:bCs/>
          <w:noProof/>
          <w:sz w:val="20"/>
          <w:vertAlign w:val="superscript"/>
          <w:lang w:val="en-GB"/>
        </w:rPr>
        <w:t>9</w:t>
      </w:r>
      <w:r w:rsidRPr="009C1F59">
        <w:rPr>
          <w:bCs/>
          <w:noProof/>
          <w:sz w:val="20"/>
          <w:lang w:val="en-GB"/>
        </w:rPr>
        <w:t>, Diamond MS</w:t>
      </w:r>
      <w:r w:rsidRPr="009C1F59">
        <w:rPr>
          <w:bCs/>
          <w:noProof/>
          <w:sz w:val="20"/>
          <w:vertAlign w:val="superscript"/>
          <w:lang w:val="en-GB"/>
        </w:rPr>
        <w:t>10</w:t>
      </w:r>
      <w:r w:rsidRPr="009C1F59">
        <w:rPr>
          <w:bCs/>
          <w:noProof/>
          <w:sz w:val="20"/>
          <w:lang w:val="en-GB"/>
        </w:rPr>
        <w:t>, Vasilakis N</w:t>
      </w:r>
      <w:r w:rsidRPr="009C1F59">
        <w:rPr>
          <w:bCs/>
          <w:noProof/>
          <w:sz w:val="20"/>
          <w:vertAlign w:val="superscript"/>
          <w:lang w:val="en-GB"/>
        </w:rPr>
        <w:t>11</w:t>
      </w:r>
      <w:r w:rsidRPr="009C1F59">
        <w:rPr>
          <w:bCs/>
          <w:noProof/>
          <w:sz w:val="20"/>
          <w:lang w:val="en-GB"/>
        </w:rPr>
        <w:t>, Drebot MA</w:t>
      </w:r>
      <w:r w:rsidRPr="009C1F59">
        <w:rPr>
          <w:bCs/>
          <w:noProof/>
          <w:sz w:val="20"/>
          <w:vertAlign w:val="superscript"/>
          <w:lang w:val="en-GB"/>
        </w:rPr>
        <w:t>12</w:t>
      </w:r>
      <w:r w:rsidRPr="009C1F59">
        <w:rPr>
          <w:bCs/>
          <w:noProof/>
          <w:sz w:val="20"/>
          <w:lang w:val="en-GB"/>
        </w:rPr>
        <w:t>, Siqueira AM</w:t>
      </w:r>
      <w:r w:rsidRPr="009C1F59">
        <w:rPr>
          <w:bCs/>
          <w:noProof/>
          <w:sz w:val="20"/>
          <w:vertAlign w:val="superscript"/>
          <w:lang w:val="en-GB"/>
        </w:rPr>
        <w:t>13</w:t>
      </w:r>
      <w:r w:rsidRPr="009C1F59">
        <w:rPr>
          <w:bCs/>
          <w:noProof/>
          <w:sz w:val="20"/>
          <w:lang w:val="en-GB"/>
        </w:rPr>
        <w:t>, Ribeiro GS</w:t>
      </w:r>
      <w:r w:rsidRPr="009C1F59">
        <w:rPr>
          <w:bCs/>
          <w:noProof/>
          <w:sz w:val="20"/>
          <w:vertAlign w:val="superscript"/>
          <w:lang w:val="en-GB"/>
        </w:rPr>
        <w:t>14</w:t>
      </w:r>
      <w:r w:rsidRPr="009C1F59">
        <w:rPr>
          <w:bCs/>
          <w:noProof/>
          <w:sz w:val="20"/>
          <w:lang w:val="en-GB"/>
        </w:rPr>
        <w:t>, Kohl A</w:t>
      </w:r>
      <w:r w:rsidRPr="009C1F59">
        <w:rPr>
          <w:bCs/>
          <w:noProof/>
          <w:sz w:val="20"/>
          <w:vertAlign w:val="superscript"/>
          <w:lang w:val="en-GB"/>
        </w:rPr>
        <w:t>15</w:t>
      </w:r>
      <w:r w:rsidRPr="009C1F59">
        <w:rPr>
          <w:bCs/>
          <w:noProof/>
          <w:sz w:val="20"/>
          <w:lang w:val="en-GB"/>
        </w:rPr>
        <w:t>, Lecuit M</w:t>
      </w:r>
      <w:r w:rsidRPr="009C1F59">
        <w:rPr>
          <w:bCs/>
          <w:noProof/>
          <w:sz w:val="20"/>
          <w:vertAlign w:val="superscript"/>
          <w:lang w:val="en-GB"/>
        </w:rPr>
        <w:t>16</w:t>
      </w:r>
      <w:r w:rsidRPr="009C1F59">
        <w:rPr>
          <w:bCs/>
          <w:noProof/>
          <w:sz w:val="20"/>
          <w:lang w:val="en-GB"/>
        </w:rPr>
        <w:t>, Ng LFP</w:t>
      </w:r>
      <w:r w:rsidRPr="009C1F59">
        <w:rPr>
          <w:bCs/>
          <w:noProof/>
          <w:sz w:val="20"/>
          <w:vertAlign w:val="superscript"/>
          <w:lang w:val="en-GB"/>
        </w:rPr>
        <w:t>17</w:t>
      </w:r>
      <w:r w:rsidRPr="009C1F59">
        <w:rPr>
          <w:bCs/>
          <w:noProof/>
          <w:sz w:val="20"/>
          <w:lang w:val="en-GB"/>
        </w:rPr>
        <w:t>, Gallian P</w:t>
      </w:r>
      <w:r w:rsidRPr="009C1F59">
        <w:rPr>
          <w:bCs/>
          <w:noProof/>
          <w:sz w:val="20"/>
          <w:vertAlign w:val="superscript"/>
          <w:lang w:val="en-GB"/>
        </w:rPr>
        <w:t>18</w:t>
      </w:r>
      <w:r w:rsidRPr="009C1F59">
        <w:rPr>
          <w:bCs/>
          <w:noProof/>
          <w:sz w:val="20"/>
          <w:lang w:val="en-GB"/>
        </w:rPr>
        <w:t>, de Lamballerie X</w:t>
      </w:r>
      <w:r w:rsidRPr="009C1F59">
        <w:rPr>
          <w:bCs/>
          <w:noProof/>
          <w:sz w:val="20"/>
          <w:vertAlign w:val="superscript"/>
          <w:lang w:val="en-GB"/>
        </w:rPr>
        <w:t>1</w:t>
      </w:r>
      <w:r w:rsidRPr="009C1F59">
        <w:rPr>
          <w:bCs/>
          <w:noProof/>
          <w:sz w:val="20"/>
          <w:lang w:val="en-GB"/>
        </w:rPr>
        <w:t xml:space="preserve"> on behalf of GloPID-R Chikungunya, O’nyong-nyong and Mayaro virus Working Group*</w:t>
      </w:r>
    </w:p>
    <w:p w:rsidR="00C64746" w:rsidRDefault="00C64746" w:rsidP="00C64746">
      <w:pPr>
        <w:spacing w:line="276" w:lineRule="auto"/>
        <w:rPr>
          <w:bCs/>
          <w:noProof/>
          <w:sz w:val="20"/>
          <w:lang w:val="en-GB"/>
        </w:rPr>
      </w:pPr>
      <w:r w:rsidRPr="009C1F59">
        <w:rPr>
          <w:bCs/>
          <w:noProof/>
          <w:sz w:val="20"/>
          <w:lang w:val="en-GB"/>
        </w:rPr>
        <w:t xml:space="preserve">* </w:t>
      </w:r>
      <w:r>
        <w:rPr>
          <w:bCs/>
          <w:noProof/>
          <w:sz w:val="20"/>
          <w:lang w:val="en-GB"/>
        </w:rPr>
        <w:t>Collaborators:</w:t>
      </w:r>
    </w:p>
    <w:p w:rsidR="00C64746" w:rsidRDefault="00C64746" w:rsidP="00C64746">
      <w:pPr>
        <w:spacing w:line="276" w:lineRule="auto"/>
        <w:rPr>
          <w:bCs/>
          <w:noProof/>
          <w:sz w:val="20"/>
          <w:vertAlign w:val="superscript"/>
          <w:lang w:val="en-GB"/>
        </w:rPr>
      </w:pPr>
      <w:r w:rsidRPr="009C1F59">
        <w:rPr>
          <w:bCs/>
          <w:noProof/>
          <w:sz w:val="20"/>
          <w:lang w:val="en-GB"/>
        </w:rPr>
        <w:t>Boyer S</w:t>
      </w:r>
      <w:r w:rsidRPr="009C1F59">
        <w:rPr>
          <w:bCs/>
          <w:noProof/>
          <w:sz w:val="20"/>
          <w:vertAlign w:val="superscript"/>
          <w:lang w:val="en-GB"/>
        </w:rPr>
        <w:t>19</w:t>
      </w:r>
      <w:r w:rsidRPr="009C1F59">
        <w:rPr>
          <w:bCs/>
          <w:noProof/>
          <w:sz w:val="20"/>
          <w:lang w:val="en-GB"/>
        </w:rPr>
        <w:t>, Brasil P</w:t>
      </w:r>
      <w:r w:rsidRPr="009C1F59">
        <w:rPr>
          <w:bCs/>
          <w:noProof/>
          <w:sz w:val="20"/>
          <w:vertAlign w:val="superscript"/>
          <w:lang w:val="en-GB"/>
        </w:rPr>
        <w:t>13</w:t>
      </w:r>
      <w:r w:rsidRPr="009C1F59">
        <w:rPr>
          <w:bCs/>
          <w:noProof/>
          <w:sz w:val="20"/>
          <w:lang w:val="en-GB"/>
        </w:rPr>
        <w:t>, Diallo M</w:t>
      </w:r>
      <w:r w:rsidRPr="009C1F59">
        <w:rPr>
          <w:bCs/>
          <w:noProof/>
          <w:sz w:val="20"/>
          <w:vertAlign w:val="superscript"/>
          <w:lang w:val="en-GB"/>
        </w:rPr>
        <w:t>20</w:t>
      </w:r>
      <w:r w:rsidRPr="009C1F59">
        <w:rPr>
          <w:bCs/>
          <w:noProof/>
          <w:sz w:val="20"/>
          <w:lang w:val="en-GB"/>
        </w:rPr>
        <w:t>, Failloux AB</w:t>
      </w:r>
      <w:r w:rsidRPr="009C1F59">
        <w:rPr>
          <w:bCs/>
          <w:noProof/>
          <w:sz w:val="20"/>
          <w:vertAlign w:val="superscript"/>
          <w:lang w:val="en-GB"/>
        </w:rPr>
        <w:t>21</w:t>
      </w:r>
      <w:r w:rsidRPr="009C1F59">
        <w:rPr>
          <w:bCs/>
          <w:noProof/>
          <w:sz w:val="20"/>
          <w:lang w:val="en-GB"/>
        </w:rPr>
        <w:t xml:space="preserve">, Jaenisch </w:t>
      </w:r>
      <w:bookmarkStart w:id="0" w:name="_GoBack"/>
      <w:r w:rsidRPr="009C1F59">
        <w:rPr>
          <w:bCs/>
          <w:noProof/>
          <w:sz w:val="20"/>
          <w:lang w:val="en-GB"/>
        </w:rPr>
        <w:t>T</w:t>
      </w:r>
      <w:r w:rsidRPr="009C1F59">
        <w:rPr>
          <w:bCs/>
          <w:noProof/>
          <w:sz w:val="20"/>
          <w:vertAlign w:val="superscript"/>
          <w:lang w:val="en-GB"/>
        </w:rPr>
        <w:t>22</w:t>
      </w:r>
      <w:bookmarkEnd w:id="0"/>
      <w:r w:rsidRPr="009C1F59">
        <w:rPr>
          <w:bCs/>
          <w:noProof/>
          <w:sz w:val="20"/>
          <w:lang w:val="en-GB"/>
        </w:rPr>
        <w:t>, Lourenço-de-Oliveira R</w:t>
      </w:r>
      <w:r w:rsidRPr="009C1F59">
        <w:rPr>
          <w:bCs/>
          <w:noProof/>
          <w:sz w:val="20"/>
          <w:vertAlign w:val="superscript"/>
          <w:lang w:val="en-GB"/>
        </w:rPr>
        <w:t>23</w:t>
      </w:r>
      <w:r w:rsidRPr="009C1F59">
        <w:rPr>
          <w:bCs/>
          <w:noProof/>
          <w:sz w:val="20"/>
          <w:lang w:val="en-GB"/>
        </w:rPr>
        <w:t>, Neyts J</w:t>
      </w:r>
      <w:r w:rsidRPr="009C1F59">
        <w:rPr>
          <w:bCs/>
          <w:noProof/>
          <w:sz w:val="20"/>
          <w:vertAlign w:val="superscript"/>
          <w:lang w:val="en-GB"/>
        </w:rPr>
        <w:t>24</w:t>
      </w:r>
      <w:r w:rsidRPr="009C1F59">
        <w:rPr>
          <w:bCs/>
          <w:noProof/>
          <w:sz w:val="20"/>
          <w:lang w:val="en-GB"/>
        </w:rPr>
        <w:t>, Rios M</w:t>
      </w:r>
      <w:r w:rsidRPr="009C1F59">
        <w:rPr>
          <w:bCs/>
          <w:noProof/>
          <w:sz w:val="20"/>
          <w:vertAlign w:val="superscript"/>
          <w:lang w:val="en-GB"/>
        </w:rPr>
        <w:t>25</w:t>
      </w:r>
      <w:r w:rsidRPr="009C1F59">
        <w:rPr>
          <w:bCs/>
          <w:noProof/>
          <w:sz w:val="20"/>
          <w:lang w:val="en-GB"/>
        </w:rPr>
        <w:t>, Rodriguez-Morales AJ</w:t>
      </w:r>
      <w:r w:rsidRPr="009C1F59">
        <w:rPr>
          <w:bCs/>
          <w:noProof/>
          <w:sz w:val="20"/>
          <w:vertAlign w:val="superscript"/>
          <w:lang w:val="en-GB"/>
        </w:rPr>
        <w:t>26</w:t>
      </w:r>
      <w:r w:rsidRPr="009C1F59">
        <w:rPr>
          <w:bCs/>
          <w:noProof/>
          <w:sz w:val="20"/>
          <w:lang w:val="en-GB"/>
        </w:rPr>
        <w:t>, Rosa-Freitas MG</w:t>
      </w:r>
      <w:r w:rsidRPr="009C1F59">
        <w:rPr>
          <w:bCs/>
          <w:noProof/>
          <w:sz w:val="20"/>
          <w:vertAlign w:val="superscript"/>
          <w:lang w:val="en-GB"/>
        </w:rPr>
        <w:t>23</w:t>
      </w:r>
      <w:r w:rsidRPr="009C1F59">
        <w:rPr>
          <w:bCs/>
          <w:noProof/>
          <w:sz w:val="20"/>
          <w:lang w:val="en-GB"/>
        </w:rPr>
        <w:t>, Sall A</w:t>
      </w:r>
      <w:r w:rsidRPr="009C1F59">
        <w:rPr>
          <w:bCs/>
          <w:noProof/>
          <w:sz w:val="20"/>
          <w:vertAlign w:val="superscript"/>
          <w:lang w:val="en-GB"/>
        </w:rPr>
        <w:t>20</w:t>
      </w:r>
      <w:r w:rsidRPr="009C1F59">
        <w:rPr>
          <w:bCs/>
          <w:noProof/>
          <w:sz w:val="20"/>
          <w:lang w:val="en-GB"/>
        </w:rPr>
        <w:t>, Simmons G</w:t>
      </w:r>
      <w:r w:rsidRPr="009C1F59">
        <w:rPr>
          <w:bCs/>
          <w:noProof/>
          <w:sz w:val="20"/>
          <w:vertAlign w:val="superscript"/>
          <w:lang w:val="en-GB"/>
        </w:rPr>
        <w:t>27</w:t>
      </w:r>
      <w:r w:rsidRPr="009C1F59">
        <w:rPr>
          <w:bCs/>
          <w:noProof/>
          <w:sz w:val="20"/>
          <w:lang w:val="en-GB"/>
        </w:rPr>
        <w:t>, Simon F</w:t>
      </w:r>
      <w:r w:rsidRPr="009C1F59">
        <w:rPr>
          <w:bCs/>
          <w:noProof/>
          <w:sz w:val="20"/>
          <w:vertAlign w:val="superscript"/>
          <w:lang w:val="en-GB"/>
        </w:rPr>
        <w:t>28</w:t>
      </w:r>
      <w:r w:rsidRPr="009C1F59">
        <w:rPr>
          <w:bCs/>
          <w:noProof/>
          <w:sz w:val="20"/>
          <w:lang w:val="en-GB"/>
        </w:rPr>
        <w:t>, Vega Rua A</w:t>
      </w:r>
      <w:r w:rsidRPr="009C1F59">
        <w:rPr>
          <w:bCs/>
          <w:noProof/>
          <w:sz w:val="20"/>
          <w:vertAlign w:val="superscript"/>
          <w:lang w:val="en-GB"/>
        </w:rPr>
        <w:t>29</w:t>
      </w:r>
    </w:p>
    <w:p w:rsidR="00C64746" w:rsidRPr="0096185D" w:rsidRDefault="00C64746" w:rsidP="00C64746">
      <w:pPr>
        <w:spacing w:line="276" w:lineRule="auto"/>
        <w:rPr>
          <w:bCs/>
          <w:lang w:val="en-GB"/>
        </w:rPr>
      </w:pPr>
    </w:p>
    <w:p w:rsidR="007D59CA" w:rsidRDefault="007D59CA" w:rsidP="007D59CA">
      <w:pPr>
        <w:spacing w:after="0" w:line="276" w:lineRule="auto"/>
        <w:rPr>
          <w:rFonts w:cs="Arial"/>
          <w:noProof/>
          <w:color w:val="000000"/>
          <w:sz w:val="16"/>
          <w:szCs w:val="16"/>
          <w:shd w:val="clear" w:color="auto" w:fill="FFFFFF"/>
        </w:rPr>
      </w:pPr>
      <w:r>
        <w:rPr>
          <w:bCs/>
          <w:noProof/>
          <w:sz w:val="16"/>
          <w:szCs w:val="16"/>
          <w:vertAlign w:val="superscript"/>
        </w:rPr>
        <w:t>1</w:t>
      </w:r>
      <w:r>
        <w:rPr>
          <w:bCs/>
          <w:noProof/>
          <w:sz w:val="16"/>
          <w:szCs w:val="16"/>
        </w:rPr>
        <w:t xml:space="preserve"> Unité des Virus Émergents (UVE: Aix-Marseille Univ-IRD 190-Inserm 1207-IHU Méditerranée Infection), Marseille, France.</w:t>
      </w:r>
    </w:p>
    <w:p w:rsidR="00C64746" w:rsidRPr="002E775B" w:rsidRDefault="00C64746" w:rsidP="007D59CA">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2</w:t>
      </w:r>
      <w:r w:rsidRPr="002E775B">
        <w:rPr>
          <w:rFonts w:cs="Arial"/>
          <w:noProof/>
          <w:color w:val="000000"/>
          <w:sz w:val="16"/>
          <w:szCs w:val="16"/>
          <w:shd w:val="clear" w:color="auto" w:fill="FFFFFF"/>
        </w:rPr>
        <w:t xml:space="preserve"> EA7310, Laboratoire de Virologie, Université de Corse-Inserm, Corte, France.</w:t>
      </w:r>
    </w:p>
    <w:p w:rsidR="00C64746" w:rsidRDefault="00C64746" w:rsidP="007D59CA">
      <w:pPr>
        <w:spacing w:after="0" w:line="276" w:lineRule="auto"/>
        <w:rPr>
          <w:rFonts w:cs="Arial"/>
          <w:noProof/>
          <w:color w:val="000000"/>
          <w:sz w:val="16"/>
          <w:szCs w:val="16"/>
          <w:shd w:val="clear" w:color="auto" w:fill="FFFFFF"/>
          <w:lang w:val="en-US"/>
        </w:rPr>
      </w:pPr>
      <w:r w:rsidRPr="00B86954">
        <w:rPr>
          <w:rFonts w:cs="Arial"/>
          <w:noProof/>
          <w:color w:val="000000"/>
          <w:sz w:val="16"/>
          <w:szCs w:val="16"/>
          <w:shd w:val="clear" w:color="auto" w:fill="FFFFFF"/>
          <w:vertAlign w:val="superscript"/>
          <w:lang w:val="en-US"/>
        </w:rPr>
        <w:t>3</w:t>
      </w:r>
      <w:r w:rsidRPr="00B86954">
        <w:rPr>
          <w:rFonts w:cs="Arial"/>
          <w:noProof/>
          <w:color w:val="000000"/>
          <w:sz w:val="16"/>
          <w:szCs w:val="16"/>
          <w:shd w:val="clear" w:color="auto" w:fill="FFFFFF"/>
          <w:lang w:val="en-US"/>
        </w:rPr>
        <w:t xml:space="preserve"> </w:t>
      </w:r>
      <w:r>
        <w:rPr>
          <w:rFonts w:cs="Arial"/>
          <w:noProof/>
          <w:color w:val="000000"/>
          <w:sz w:val="16"/>
          <w:szCs w:val="16"/>
          <w:shd w:val="clear" w:color="auto" w:fill="FFFFFF"/>
          <w:lang w:val="en-US"/>
        </w:rPr>
        <w:t>Centre for Infectious Disease Control, National Institute for Public Health and the Environment (RIVM), Bilthoven, the Netherlands</w:t>
      </w:r>
    </w:p>
    <w:p w:rsidR="00C64746" w:rsidRPr="00B86954"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4 </w:t>
      </w:r>
      <w:r>
        <w:rPr>
          <w:rFonts w:cs="Arial"/>
          <w:noProof/>
          <w:color w:val="000000"/>
          <w:sz w:val="16"/>
          <w:szCs w:val="16"/>
          <w:shd w:val="clear" w:color="auto" w:fill="FFFFFF"/>
          <w:lang w:val="en-US"/>
        </w:rPr>
        <w:t>Department Viroscience, Erasmus University Medical Center</w:t>
      </w:r>
      <w:r w:rsidRPr="00B86954">
        <w:rPr>
          <w:rFonts w:cs="Arial"/>
          <w:noProof/>
          <w:color w:val="000000"/>
          <w:sz w:val="16"/>
          <w:szCs w:val="16"/>
          <w:shd w:val="clear" w:color="auto" w:fill="FFFFFF"/>
          <w:lang w:val="en-US"/>
        </w:rPr>
        <w:t>, Rotterdam, The Netherlands.</w:t>
      </w:r>
    </w:p>
    <w:p w:rsidR="00C64746" w:rsidRPr="00B86954"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5 </w:t>
      </w:r>
      <w:r w:rsidRPr="00B86954">
        <w:rPr>
          <w:rFonts w:cs="Arial"/>
          <w:noProof/>
          <w:color w:val="000000"/>
          <w:sz w:val="16"/>
          <w:szCs w:val="16"/>
          <w:shd w:val="clear" w:color="auto" w:fill="FFFFFF"/>
          <w:lang w:val="en-US"/>
        </w:rPr>
        <w:t>Institute for Human Infections and Immunity and Department of Microbiology and Immunology, University of Texas Medical Branch, Galveston, USA.</w:t>
      </w:r>
    </w:p>
    <w:p w:rsidR="00C64746" w:rsidRPr="00057B96" w:rsidRDefault="00C64746" w:rsidP="00C64746">
      <w:pPr>
        <w:spacing w:after="0" w:line="276" w:lineRule="auto"/>
        <w:rPr>
          <w:rFonts w:cs="Arial"/>
          <w:noProof/>
          <w:color w:val="000000"/>
          <w:sz w:val="16"/>
          <w:szCs w:val="16"/>
          <w:shd w:val="clear" w:color="auto" w:fill="FFFFFF"/>
          <w:lang w:val="en-US"/>
        </w:rPr>
      </w:pPr>
      <w:r w:rsidRPr="000C2A26">
        <w:rPr>
          <w:rFonts w:cs="Arial"/>
          <w:noProof/>
          <w:color w:val="000000"/>
          <w:sz w:val="16"/>
          <w:szCs w:val="16"/>
          <w:shd w:val="clear" w:color="auto" w:fill="FFFFFF"/>
          <w:vertAlign w:val="superscript"/>
          <w:lang w:val="en-US"/>
        </w:rPr>
        <w:t>6</w:t>
      </w:r>
      <w:r>
        <w:rPr>
          <w:rFonts w:cs="Arial"/>
          <w:noProof/>
          <w:color w:val="000000"/>
          <w:sz w:val="16"/>
          <w:szCs w:val="16"/>
          <w:shd w:val="clear" w:color="auto" w:fill="FFFFFF"/>
          <w:vertAlign w:val="superscript"/>
          <w:lang w:val="en-US"/>
        </w:rPr>
        <w:t xml:space="preserve"> </w:t>
      </w:r>
      <w:r w:rsidRPr="00057B96">
        <w:rPr>
          <w:rFonts w:cs="Arial"/>
          <w:noProof/>
          <w:color w:val="000000"/>
          <w:sz w:val="16"/>
          <w:szCs w:val="16"/>
          <w:shd w:val="clear" w:color="auto" w:fill="FFFFFF"/>
          <w:lang w:val="en-US"/>
        </w:rPr>
        <w:t xml:space="preserve">Charité-Universitätsmedizin Berlin, corporate member of Freie Universität Berlin, Humboldt-Universität zu Berlin, and Berlin Institute of Health, Institute of </w:t>
      </w:r>
      <w:r>
        <w:rPr>
          <w:rFonts w:cs="Arial"/>
          <w:noProof/>
          <w:color w:val="000000"/>
          <w:sz w:val="16"/>
          <w:szCs w:val="16"/>
          <w:shd w:val="clear" w:color="auto" w:fill="FFFFFF"/>
          <w:lang w:val="en-US"/>
        </w:rPr>
        <w:t>Virology, 10117 Berlin, Germany.</w:t>
      </w:r>
    </w:p>
    <w:p w:rsidR="00C64746" w:rsidRPr="005C59C3"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7 </w:t>
      </w:r>
      <w:r w:rsidRPr="00057B96">
        <w:rPr>
          <w:rFonts w:cs="Arial"/>
          <w:noProof/>
          <w:color w:val="000000"/>
          <w:sz w:val="16"/>
          <w:szCs w:val="16"/>
          <w:shd w:val="clear" w:color="auto" w:fill="FFFFFF"/>
          <w:lang w:val="en-US"/>
        </w:rPr>
        <w:t>German Centre for Infection Research (DZIF)</w:t>
      </w:r>
      <w:r w:rsidRPr="005C59C3">
        <w:rPr>
          <w:rFonts w:cs="Arial"/>
          <w:noProof/>
          <w:color w:val="000000"/>
          <w:sz w:val="16"/>
          <w:szCs w:val="16"/>
          <w:shd w:val="clear" w:color="auto" w:fill="FFFFFF"/>
          <w:lang w:val="en-US"/>
        </w:rPr>
        <w:t>, Germany</w:t>
      </w:r>
      <w:r>
        <w:rPr>
          <w:rFonts w:cs="Arial"/>
          <w:noProof/>
          <w:color w:val="000000"/>
          <w:sz w:val="16"/>
          <w:szCs w:val="16"/>
          <w:shd w:val="clear" w:color="auto" w:fill="FFFFFF"/>
          <w:lang w:val="en-US"/>
        </w:rPr>
        <w:t>.</w:t>
      </w:r>
    </w:p>
    <w:p w:rsidR="00C64746" w:rsidRPr="005C59C3"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8</w:t>
      </w:r>
      <w:r w:rsidRPr="005C59C3">
        <w:rPr>
          <w:rFonts w:cs="Arial"/>
          <w:noProof/>
          <w:color w:val="000000"/>
          <w:sz w:val="16"/>
          <w:szCs w:val="16"/>
          <w:shd w:val="clear" w:color="auto" w:fill="FFFFFF"/>
          <w:lang w:val="en-US"/>
        </w:rPr>
        <w:t xml:space="preserve"> Blood Systems Research Institute, San Francisco, and Department of Laboratory Medicine, University of California, San Francisco, USA.</w:t>
      </w:r>
    </w:p>
    <w:p w:rsidR="00C64746" w:rsidRPr="005C59C3"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9 </w:t>
      </w:r>
      <w:r w:rsidRPr="00B86954">
        <w:rPr>
          <w:rFonts w:cs="Arial"/>
          <w:noProof/>
          <w:color w:val="000000"/>
          <w:sz w:val="16"/>
          <w:szCs w:val="16"/>
          <w:shd w:val="clear" w:color="auto" w:fill="FFFFFF"/>
          <w:lang w:val="en-US"/>
        </w:rPr>
        <w:t>Department of Pediatrics, Division of Infectious Diseases, Stanford University Sch</w:t>
      </w:r>
      <w:r>
        <w:rPr>
          <w:rFonts w:cs="Arial"/>
          <w:noProof/>
          <w:color w:val="000000"/>
          <w:sz w:val="16"/>
          <w:szCs w:val="16"/>
          <w:shd w:val="clear" w:color="auto" w:fill="FFFFFF"/>
          <w:lang w:val="en-US"/>
        </w:rPr>
        <w:t>ool of Medicine, Stanford, USA.</w:t>
      </w:r>
    </w:p>
    <w:p w:rsidR="00C64746"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10 </w:t>
      </w:r>
      <w:r w:rsidRPr="00B86954">
        <w:rPr>
          <w:rFonts w:cs="Arial"/>
          <w:noProof/>
          <w:color w:val="000000"/>
          <w:sz w:val="16"/>
          <w:szCs w:val="16"/>
          <w:shd w:val="clear" w:color="auto" w:fill="FFFFFF"/>
          <w:lang w:val="en-US"/>
        </w:rPr>
        <w:t>Departments of Medicine, Molecular Microbiology, Pathology and Immunology, and The Andrew M. and Jane M. Bursky Center for Human Immunology and Immunotherapy Programs, Washington University School of Medicine, St. Louis, USA.</w:t>
      </w:r>
    </w:p>
    <w:p w:rsidR="00C64746" w:rsidRPr="00B86954"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11 </w:t>
      </w:r>
      <w:r w:rsidRPr="00B86954">
        <w:rPr>
          <w:rFonts w:cs="Arial"/>
          <w:noProof/>
          <w:color w:val="000000"/>
          <w:sz w:val="16"/>
          <w:szCs w:val="16"/>
          <w:shd w:val="clear" w:color="auto" w:fill="FFFFFF"/>
          <w:lang w:val="en-US"/>
        </w:rPr>
        <w:t>Department of Pathology, Institute of Human Infection and Immunity, University of Texas Medical Branch, Galveston, USA.</w:t>
      </w:r>
    </w:p>
    <w:p w:rsidR="00C64746" w:rsidRDefault="00C64746" w:rsidP="00C64746">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12 </w:t>
      </w:r>
      <w:r w:rsidRPr="00B86954">
        <w:rPr>
          <w:rFonts w:cs="Arial"/>
          <w:noProof/>
          <w:color w:val="000000"/>
          <w:sz w:val="16"/>
          <w:szCs w:val="16"/>
          <w:shd w:val="clear" w:color="auto" w:fill="FFFFFF"/>
          <w:lang w:val="en-US"/>
        </w:rPr>
        <w:t>Zoonotic Diseases and Special Pathogens, National Microbiology Laboratory, Public Health Agency of Canada, Winnipeg, Canada.</w:t>
      </w:r>
    </w:p>
    <w:p w:rsidR="00C64746" w:rsidRPr="002E775B" w:rsidRDefault="00C64746" w:rsidP="00C64746">
      <w:pPr>
        <w:spacing w:after="0" w:line="276" w:lineRule="auto"/>
        <w:rPr>
          <w:rFonts w:cs="Arial"/>
          <w:noProof/>
          <w:color w:val="000000"/>
          <w:sz w:val="16"/>
          <w:szCs w:val="16"/>
          <w:shd w:val="clear" w:color="auto" w:fill="FFFFFF"/>
          <w:lang w:val="it-IT"/>
        </w:rPr>
      </w:pPr>
      <w:r w:rsidRPr="002E775B">
        <w:rPr>
          <w:rFonts w:cs="Arial"/>
          <w:noProof/>
          <w:color w:val="000000"/>
          <w:sz w:val="16"/>
          <w:szCs w:val="16"/>
          <w:shd w:val="clear" w:color="auto" w:fill="FFFFFF"/>
          <w:vertAlign w:val="superscript"/>
          <w:lang w:val="it-IT"/>
        </w:rPr>
        <w:t>13</w:t>
      </w:r>
      <w:r w:rsidRPr="002E775B">
        <w:rPr>
          <w:rFonts w:cs="Arial"/>
          <w:noProof/>
          <w:color w:val="000000"/>
          <w:sz w:val="16"/>
          <w:szCs w:val="16"/>
          <w:shd w:val="clear" w:color="auto" w:fill="FFFFFF"/>
          <w:lang w:val="it-IT"/>
        </w:rPr>
        <w:t xml:space="preserve"> Instituto Nacional de Infectologia Evandro Chagas - Oswaldo Cruz Foundation, Rio de Janeiro, Brasil.</w:t>
      </w:r>
    </w:p>
    <w:p w:rsidR="00C64746" w:rsidRPr="00376C79" w:rsidRDefault="00C64746" w:rsidP="00C64746">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14 </w:t>
      </w:r>
      <w:r w:rsidRPr="00B86954">
        <w:rPr>
          <w:rFonts w:cs="Arial"/>
          <w:noProof/>
          <w:color w:val="000000"/>
          <w:sz w:val="16"/>
          <w:szCs w:val="16"/>
          <w:shd w:val="clear" w:color="auto" w:fill="FFFFFF"/>
          <w:lang w:val="en-US"/>
        </w:rPr>
        <w:t xml:space="preserve">Gonçalo Moniz Institute, Oswaldo Cruz Foundation, </w:t>
      </w:r>
      <w:r>
        <w:rPr>
          <w:rFonts w:cs="Arial"/>
          <w:noProof/>
          <w:color w:val="000000"/>
          <w:sz w:val="16"/>
          <w:szCs w:val="16"/>
          <w:shd w:val="clear" w:color="auto" w:fill="FFFFFF"/>
          <w:lang w:val="en-US"/>
        </w:rPr>
        <w:t>and Federal University of Bahia, Salvador</w:t>
      </w:r>
      <w:r w:rsidRPr="00B86954">
        <w:rPr>
          <w:rFonts w:cs="Arial"/>
          <w:noProof/>
          <w:color w:val="000000"/>
          <w:sz w:val="16"/>
          <w:szCs w:val="16"/>
          <w:shd w:val="clear" w:color="auto" w:fill="FFFFFF"/>
          <w:lang w:val="en-US"/>
        </w:rPr>
        <w:t>, Brazil</w:t>
      </w:r>
      <w:r>
        <w:rPr>
          <w:rFonts w:cs="Arial"/>
          <w:noProof/>
          <w:color w:val="000000"/>
          <w:sz w:val="16"/>
          <w:szCs w:val="16"/>
          <w:shd w:val="clear" w:color="auto" w:fill="FFFFFF"/>
          <w:lang w:val="en-US"/>
        </w:rPr>
        <w:t>. </w:t>
      </w:r>
    </w:p>
    <w:p w:rsidR="00C64746" w:rsidRPr="0096185D" w:rsidRDefault="00C64746" w:rsidP="00C64746">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15</w:t>
      </w:r>
      <w:r w:rsidRPr="0096185D">
        <w:rPr>
          <w:rFonts w:cs="Arial"/>
          <w:noProof/>
          <w:color w:val="000000"/>
          <w:sz w:val="16"/>
          <w:szCs w:val="16"/>
          <w:shd w:val="clear" w:color="auto" w:fill="FFFFFF"/>
          <w:lang w:val="en-US"/>
        </w:rPr>
        <w:t xml:space="preserve"> MRC-University of Glasgow Centre for Virus Research, Glasgow, UK.</w:t>
      </w:r>
    </w:p>
    <w:p w:rsidR="00C64746" w:rsidRPr="0096185D" w:rsidRDefault="00C64746" w:rsidP="00C64746">
      <w:pPr>
        <w:spacing w:after="0" w:line="276" w:lineRule="auto"/>
        <w:rPr>
          <w:rFonts w:cs="Arial"/>
          <w:noProof/>
          <w:color w:val="000000"/>
          <w:sz w:val="16"/>
          <w:szCs w:val="16"/>
          <w:shd w:val="clear" w:color="auto" w:fill="FFFFFF"/>
          <w:vertAlign w:val="superscript"/>
          <w:lang w:val="en-US"/>
        </w:rPr>
      </w:pPr>
      <w:r w:rsidRPr="0096185D">
        <w:rPr>
          <w:rFonts w:cs="Arial"/>
          <w:noProof/>
          <w:color w:val="000000"/>
          <w:sz w:val="16"/>
          <w:szCs w:val="16"/>
          <w:shd w:val="clear" w:color="auto" w:fill="FFFFFF"/>
          <w:vertAlign w:val="superscript"/>
          <w:lang w:val="en-US"/>
        </w:rPr>
        <w:t xml:space="preserve">16 </w:t>
      </w:r>
      <w:r w:rsidRPr="0096185D">
        <w:rPr>
          <w:rFonts w:cs="Arial"/>
          <w:noProof/>
          <w:color w:val="000000"/>
          <w:sz w:val="16"/>
          <w:szCs w:val="16"/>
          <w:shd w:val="clear" w:color="auto" w:fill="FFFFFF"/>
          <w:lang w:val="en-US"/>
        </w:rPr>
        <w:t>Institut Pasteur,</w:t>
      </w:r>
      <w:r w:rsidRPr="0096185D">
        <w:rPr>
          <w:rFonts w:cs="Arial"/>
          <w:noProof/>
          <w:color w:val="000000"/>
          <w:sz w:val="16"/>
          <w:szCs w:val="16"/>
          <w:shd w:val="clear" w:color="auto" w:fill="FFFFFF"/>
          <w:vertAlign w:val="superscript"/>
          <w:lang w:val="en-US"/>
        </w:rPr>
        <w:t xml:space="preserve"> </w:t>
      </w:r>
      <w:r w:rsidRPr="0096185D">
        <w:rPr>
          <w:rFonts w:cs="Arial"/>
          <w:noProof/>
          <w:color w:val="000000"/>
          <w:sz w:val="16"/>
          <w:szCs w:val="16"/>
          <w:shd w:val="clear" w:color="auto" w:fill="FFFFFF"/>
          <w:lang w:val="en-US"/>
        </w:rPr>
        <w:t>Biology of Infection Unit; Inserm U1117; Paris Descartes University, Departement of Infectious Diseases and Tropical Medicine, Necker-Enfants Malades University Hospital, APHP, IHU Imagine, Paris, France.</w:t>
      </w:r>
    </w:p>
    <w:p w:rsidR="00C64746" w:rsidRPr="0096185D" w:rsidRDefault="00C64746" w:rsidP="00C64746">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17 </w:t>
      </w:r>
      <w:r w:rsidRPr="0096185D">
        <w:rPr>
          <w:rFonts w:cs="Arial"/>
          <w:noProof/>
          <w:color w:val="000000"/>
          <w:sz w:val="16"/>
          <w:szCs w:val="16"/>
          <w:shd w:val="clear" w:color="auto" w:fill="FFFFFF"/>
          <w:lang w:val="en-US"/>
        </w:rPr>
        <w:t>Singapore Immunology Network, Agency for Science, Technology and Research (A*STAR), Singapore. </w:t>
      </w:r>
    </w:p>
    <w:p w:rsidR="00C64746" w:rsidRPr="002E775B" w:rsidRDefault="00C64746" w:rsidP="00C64746">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18 </w:t>
      </w:r>
      <w:r w:rsidRPr="002E775B">
        <w:rPr>
          <w:rFonts w:cs="Arial"/>
          <w:noProof/>
          <w:color w:val="000000"/>
          <w:sz w:val="16"/>
          <w:szCs w:val="16"/>
          <w:shd w:val="clear" w:color="auto" w:fill="FFFFFF"/>
        </w:rPr>
        <w:t>Établissement Français du Sang Alpes Méditerranée, Marseille, France.</w:t>
      </w:r>
    </w:p>
    <w:p w:rsidR="00C64746" w:rsidRPr="002E775B" w:rsidRDefault="00C64746" w:rsidP="00C64746">
      <w:pPr>
        <w:spacing w:after="0" w:line="276" w:lineRule="auto"/>
        <w:rPr>
          <w:rFonts w:cs="Arial"/>
          <w:noProof/>
          <w:color w:val="000000"/>
          <w:sz w:val="16"/>
          <w:szCs w:val="16"/>
          <w:shd w:val="clear" w:color="auto" w:fill="FFFFFF"/>
          <w:vertAlign w:val="superscript"/>
        </w:rPr>
      </w:pPr>
      <w:r w:rsidRPr="002E775B">
        <w:rPr>
          <w:rFonts w:cs="Arial"/>
          <w:noProof/>
          <w:color w:val="000000"/>
          <w:sz w:val="16"/>
          <w:szCs w:val="16"/>
          <w:shd w:val="clear" w:color="auto" w:fill="FFFFFF"/>
          <w:vertAlign w:val="superscript"/>
        </w:rPr>
        <w:t xml:space="preserve">19 </w:t>
      </w:r>
      <w:r w:rsidRPr="002E775B">
        <w:rPr>
          <w:rFonts w:cs="Arial"/>
          <w:noProof/>
          <w:color w:val="000000"/>
          <w:sz w:val="16"/>
          <w:szCs w:val="16"/>
          <w:shd w:val="clear" w:color="auto" w:fill="FFFFFF"/>
        </w:rPr>
        <w:t>Medical Entomology Platform, Institut Pasteur du Cambodge, Phnom Penh, Cambodia.</w:t>
      </w:r>
    </w:p>
    <w:p w:rsidR="00C64746" w:rsidRPr="002E775B" w:rsidRDefault="00C64746" w:rsidP="00C64746">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20 </w:t>
      </w:r>
      <w:r w:rsidRPr="002E775B">
        <w:rPr>
          <w:rFonts w:cs="Arial"/>
          <w:noProof/>
          <w:color w:val="000000"/>
          <w:sz w:val="16"/>
          <w:szCs w:val="16"/>
          <w:shd w:val="clear" w:color="auto" w:fill="FFFFFF"/>
        </w:rPr>
        <w:t>Unité d'Entomologie Médicale, Institut Pasteur de Dakar, Dakar, Senegal.</w:t>
      </w:r>
    </w:p>
    <w:p w:rsidR="00C64746" w:rsidRPr="00B86954" w:rsidRDefault="00C64746" w:rsidP="00C64746">
      <w:pPr>
        <w:spacing w:after="0" w:line="276" w:lineRule="auto"/>
        <w:rPr>
          <w:rFonts w:cs="Arial"/>
          <w:noProof/>
          <w:color w:val="000000"/>
          <w:sz w:val="16"/>
          <w:szCs w:val="16"/>
          <w:shd w:val="clear" w:color="auto" w:fill="FFFFFF"/>
          <w:lang w:val="en-US"/>
        </w:rPr>
      </w:pPr>
      <w:r>
        <w:rPr>
          <w:bCs/>
          <w:noProof/>
          <w:sz w:val="16"/>
          <w:szCs w:val="16"/>
          <w:vertAlign w:val="superscript"/>
          <w:lang w:val="en-US"/>
        </w:rPr>
        <w:t xml:space="preserve">21 </w:t>
      </w:r>
      <w:r w:rsidRPr="00B86954">
        <w:rPr>
          <w:rFonts w:cs="Arial"/>
          <w:noProof/>
          <w:color w:val="000000"/>
          <w:sz w:val="16"/>
          <w:szCs w:val="16"/>
          <w:shd w:val="clear" w:color="auto" w:fill="FFFFFF"/>
          <w:lang w:val="en-US"/>
        </w:rPr>
        <w:t>Department of Virology, Institut Pasteur, Arboviruses and Insect Vectors Unit, Paris, France.</w:t>
      </w:r>
    </w:p>
    <w:p w:rsidR="00C64746" w:rsidRPr="00B86954"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22</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Section Clinical Tropical Medicine, Department of Infectious Diseases, Heidelberg University Hospital, Heidelberg, Germany.</w:t>
      </w:r>
    </w:p>
    <w:p w:rsidR="00C64746" w:rsidRPr="00175A37" w:rsidRDefault="00C64746" w:rsidP="00C64746">
      <w:pPr>
        <w:spacing w:after="0" w:line="276" w:lineRule="auto"/>
        <w:rPr>
          <w:rFonts w:cs="Arial"/>
          <w:noProof/>
          <w:color w:val="000000"/>
          <w:sz w:val="10"/>
          <w:szCs w:val="16"/>
          <w:shd w:val="clear" w:color="auto" w:fill="FFFFFF"/>
          <w:lang w:val="en-US"/>
        </w:rPr>
      </w:pPr>
      <w:r>
        <w:rPr>
          <w:rFonts w:cs="Arial"/>
          <w:noProof/>
          <w:color w:val="000000"/>
          <w:sz w:val="16"/>
          <w:szCs w:val="16"/>
          <w:shd w:val="clear" w:color="auto" w:fill="FFFFFF"/>
          <w:vertAlign w:val="superscript"/>
          <w:lang w:val="en-US"/>
        </w:rPr>
        <w:t xml:space="preserve">23 </w:t>
      </w:r>
      <w:r w:rsidRPr="00175A37">
        <w:rPr>
          <w:rFonts w:cs="Arial"/>
          <w:noProof/>
          <w:sz w:val="16"/>
          <w:shd w:val="clear" w:color="auto" w:fill="FFFFFF"/>
          <w:lang w:val="en-GB"/>
        </w:rPr>
        <w:t>Instituto Oswaldo Cruz-Fiocruz</w:t>
      </w:r>
      <w:r>
        <w:rPr>
          <w:rFonts w:cs="Arial"/>
          <w:noProof/>
          <w:sz w:val="16"/>
          <w:shd w:val="clear" w:color="auto" w:fill="FFFFFF"/>
          <w:lang w:val="en-GB"/>
        </w:rPr>
        <w:t>,</w:t>
      </w:r>
      <w:r w:rsidRPr="00175A37">
        <w:rPr>
          <w:rFonts w:cs="Arial"/>
          <w:noProof/>
          <w:sz w:val="16"/>
          <w:shd w:val="clear" w:color="auto" w:fill="FFFFFF"/>
          <w:lang w:val="en-GB"/>
        </w:rPr>
        <w:t xml:space="preserve"> Laboratório de Mosquitos</w:t>
      </w:r>
      <w:r>
        <w:rPr>
          <w:rFonts w:cs="Arial"/>
          <w:noProof/>
          <w:sz w:val="16"/>
          <w:shd w:val="clear" w:color="auto" w:fill="FFFFFF"/>
          <w:lang w:val="en-GB"/>
        </w:rPr>
        <w:t xml:space="preserve"> Transmissores de Hematozoários</w:t>
      </w:r>
      <w:r w:rsidRPr="00175A37">
        <w:rPr>
          <w:rFonts w:cs="Arial"/>
          <w:noProof/>
          <w:sz w:val="16"/>
          <w:shd w:val="clear" w:color="auto" w:fill="FFFFFF"/>
          <w:lang w:val="en-GB"/>
        </w:rPr>
        <w:t>, Rio de Janeiro, Brasil.</w:t>
      </w:r>
    </w:p>
    <w:p w:rsidR="00C64746" w:rsidRPr="00B86954" w:rsidRDefault="00C64746" w:rsidP="00C64746">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24</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KU Leuven, Department of Microbiology and Immunology, Rega Institute for Medical Research, Laboratory of Virology and Chemotherapy, Leuven, Belgium.</w:t>
      </w:r>
    </w:p>
    <w:p w:rsidR="00C64746" w:rsidRPr="00B86954" w:rsidRDefault="00C64746" w:rsidP="00C64746">
      <w:pPr>
        <w:spacing w:after="0" w:line="276" w:lineRule="auto"/>
        <w:rPr>
          <w:rFonts w:cs="Arial"/>
          <w:noProof/>
          <w:color w:val="000000"/>
          <w:sz w:val="16"/>
          <w:shd w:val="clear" w:color="auto" w:fill="FFFFFF"/>
          <w:lang w:val="en-US"/>
        </w:rPr>
      </w:pPr>
      <w:r>
        <w:rPr>
          <w:rFonts w:cs="Arial"/>
          <w:noProof/>
          <w:color w:val="000000"/>
          <w:sz w:val="16"/>
          <w:shd w:val="clear" w:color="auto" w:fill="FFFFFF"/>
          <w:vertAlign w:val="superscript"/>
          <w:lang w:val="en-US"/>
        </w:rPr>
        <w:t>25</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Division of Emerging and Transfusion Transmitted Diseases, Laboratory of Emerging Pathogens, Office of Blood Research and Review, Center for Biologics Evaluation and Research, U.S. </w:t>
      </w:r>
      <w:r w:rsidRPr="00B86954">
        <w:rPr>
          <w:rStyle w:val="highlight"/>
          <w:rFonts w:cs="Arial"/>
          <w:noProof/>
          <w:color w:val="000000"/>
          <w:sz w:val="16"/>
          <w:szCs w:val="20"/>
          <w:shd w:val="clear" w:color="auto" w:fill="FFFFFF"/>
          <w:lang w:val="en-US"/>
        </w:rPr>
        <w:t>Food</w:t>
      </w:r>
      <w:r w:rsidRPr="00B86954">
        <w:rPr>
          <w:rFonts w:cs="Arial"/>
          <w:noProof/>
          <w:color w:val="000000"/>
          <w:sz w:val="16"/>
          <w:shd w:val="clear" w:color="auto" w:fill="FFFFFF"/>
          <w:lang w:val="en-US"/>
        </w:rPr>
        <w:t> and </w:t>
      </w:r>
      <w:r w:rsidRPr="00B86954">
        <w:rPr>
          <w:rStyle w:val="highlight"/>
          <w:rFonts w:cs="Arial"/>
          <w:noProof/>
          <w:color w:val="000000"/>
          <w:sz w:val="16"/>
          <w:szCs w:val="20"/>
          <w:shd w:val="clear" w:color="auto" w:fill="FFFFFF"/>
          <w:lang w:val="en-US"/>
        </w:rPr>
        <w:t>Drug</w:t>
      </w:r>
      <w:r w:rsidRPr="00B86954">
        <w:rPr>
          <w:rFonts w:cs="Arial"/>
          <w:noProof/>
          <w:color w:val="000000"/>
          <w:sz w:val="16"/>
          <w:shd w:val="clear" w:color="auto" w:fill="FFFFFF"/>
          <w:lang w:val="en-US"/>
        </w:rPr>
        <w:t> </w:t>
      </w:r>
      <w:r w:rsidRPr="00B86954">
        <w:rPr>
          <w:rStyle w:val="highlight"/>
          <w:rFonts w:cs="Arial"/>
          <w:noProof/>
          <w:color w:val="000000"/>
          <w:sz w:val="16"/>
          <w:szCs w:val="20"/>
          <w:shd w:val="clear" w:color="auto" w:fill="FFFFFF"/>
          <w:lang w:val="en-US"/>
        </w:rPr>
        <w:t>Administration</w:t>
      </w:r>
      <w:r w:rsidRPr="00B86954">
        <w:rPr>
          <w:rFonts w:cs="Arial"/>
          <w:noProof/>
          <w:color w:val="000000"/>
          <w:sz w:val="16"/>
          <w:shd w:val="clear" w:color="auto" w:fill="FFFFFF"/>
          <w:lang w:val="en-US"/>
        </w:rPr>
        <w:t>, Silver Spring, USA.</w:t>
      </w:r>
    </w:p>
    <w:p w:rsidR="00C64746" w:rsidRPr="00B86954" w:rsidRDefault="00C64746" w:rsidP="00C64746">
      <w:pPr>
        <w:spacing w:after="0" w:line="276" w:lineRule="auto"/>
        <w:rPr>
          <w:rFonts w:cs="Arial"/>
          <w:noProof/>
          <w:color w:val="000000"/>
          <w:sz w:val="8"/>
          <w:szCs w:val="16"/>
          <w:shd w:val="clear" w:color="auto" w:fill="FFFFFF"/>
          <w:lang w:val="en-US"/>
        </w:rPr>
      </w:pPr>
      <w:r>
        <w:rPr>
          <w:rFonts w:cs="Arial"/>
          <w:noProof/>
          <w:color w:val="000000"/>
          <w:sz w:val="16"/>
          <w:shd w:val="clear" w:color="auto" w:fill="FFFFFF"/>
          <w:vertAlign w:val="superscript"/>
          <w:lang w:val="en-US"/>
        </w:rPr>
        <w:t>26</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Public Health and Infection Research Group, Faculty of Health Sciences, Universidad Tecnologica de Pereira, Pereira, Colombia.</w:t>
      </w:r>
    </w:p>
    <w:p w:rsidR="00C64746" w:rsidRPr="00B86954" w:rsidRDefault="00C64746" w:rsidP="00C64746">
      <w:pPr>
        <w:spacing w:after="0" w:line="276" w:lineRule="auto"/>
        <w:rPr>
          <w:rFonts w:ascii="Arial" w:hAnsi="Arial" w:cs="Arial"/>
          <w:noProof/>
          <w:color w:val="000000"/>
          <w:sz w:val="16"/>
          <w:shd w:val="clear" w:color="auto" w:fill="FFFFFF"/>
          <w:lang w:val="en-US"/>
        </w:rPr>
      </w:pPr>
      <w:r>
        <w:rPr>
          <w:rFonts w:cs="Arial"/>
          <w:noProof/>
          <w:color w:val="000000"/>
          <w:sz w:val="16"/>
          <w:szCs w:val="16"/>
          <w:shd w:val="clear" w:color="auto" w:fill="FFFFFF"/>
          <w:vertAlign w:val="superscript"/>
          <w:lang w:val="en-US"/>
        </w:rPr>
        <w:t>27</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hd w:val="clear" w:color="auto" w:fill="FFFFFF"/>
          <w:lang w:val="en-US"/>
        </w:rPr>
        <w:t>Blood Systems Research Institute, San Francisco, USA, and Department of Pathology and Laboratory Medicine, University of California, San Francisco, San Francisco, USA.</w:t>
      </w:r>
      <w:r w:rsidRPr="00B86954">
        <w:rPr>
          <w:rFonts w:ascii="Arial" w:hAnsi="Arial" w:cs="Arial"/>
          <w:noProof/>
          <w:color w:val="000000"/>
          <w:sz w:val="16"/>
          <w:shd w:val="clear" w:color="auto" w:fill="FFFFFF"/>
          <w:lang w:val="en-US"/>
        </w:rPr>
        <w:t> </w:t>
      </w:r>
    </w:p>
    <w:p w:rsidR="00C64746" w:rsidRPr="008D60E1" w:rsidRDefault="00C64746" w:rsidP="00C64746">
      <w:pPr>
        <w:spacing w:after="0" w:line="276" w:lineRule="auto"/>
        <w:rPr>
          <w:rFonts w:cs="Arial"/>
          <w:noProof/>
          <w:color w:val="000000"/>
          <w:sz w:val="16"/>
          <w:shd w:val="clear" w:color="auto" w:fill="FFFFFF"/>
          <w:lang w:val="en-US"/>
        </w:rPr>
      </w:pPr>
      <w:r w:rsidRPr="00B86954">
        <w:rPr>
          <w:rFonts w:ascii="Arial" w:hAnsi="Arial" w:cs="Arial"/>
          <w:noProof/>
          <w:color w:val="000000"/>
          <w:sz w:val="16"/>
          <w:shd w:val="clear" w:color="auto" w:fill="FFFFFF"/>
          <w:vertAlign w:val="superscript"/>
          <w:lang w:val="en-US"/>
        </w:rPr>
        <w:t>2</w:t>
      </w:r>
      <w:r>
        <w:rPr>
          <w:rFonts w:ascii="Arial" w:hAnsi="Arial" w:cs="Arial"/>
          <w:noProof/>
          <w:color w:val="000000"/>
          <w:sz w:val="16"/>
          <w:shd w:val="clear" w:color="auto" w:fill="FFFFFF"/>
          <w:vertAlign w:val="superscript"/>
          <w:lang w:val="en-US"/>
        </w:rPr>
        <w:t>8</w:t>
      </w:r>
      <w:r w:rsidRPr="00B86954">
        <w:rPr>
          <w:rFonts w:ascii="Arial" w:hAnsi="Arial"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Laveran Military Teachi</w:t>
      </w:r>
      <w:r>
        <w:rPr>
          <w:rFonts w:cs="Arial"/>
          <w:noProof/>
          <w:color w:val="000000"/>
          <w:sz w:val="16"/>
          <w:shd w:val="clear" w:color="auto" w:fill="FFFFFF"/>
          <w:lang w:val="en-US"/>
        </w:rPr>
        <w:t>ng Hospital, Marseille, France.</w:t>
      </w:r>
    </w:p>
    <w:p w:rsidR="00C64746" w:rsidRPr="00B86954" w:rsidRDefault="00C64746" w:rsidP="00C64746">
      <w:pPr>
        <w:spacing w:after="0" w:line="276" w:lineRule="auto"/>
        <w:rPr>
          <w:rFonts w:cs="Arial"/>
          <w:noProof/>
          <w:color w:val="000000"/>
          <w:sz w:val="16"/>
          <w:szCs w:val="16"/>
          <w:shd w:val="clear" w:color="auto" w:fill="FFFFFF"/>
          <w:vertAlign w:val="superscript"/>
          <w:lang w:val="en-US"/>
        </w:rPr>
      </w:pPr>
      <w:r>
        <w:rPr>
          <w:rFonts w:cs="Arial"/>
          <w:noProof/>
          <w:color w:val="000000"/>
          <w:sz w:val="16"/>
          <w:szCs w:val="16"/>
          <w:shd w:val="clear" w:color="auto" w:fill="FFFFFF"/>
          <w:vertAlign w:val="superscript"/>
          <w:lang w:val="en-US"/>
        </w:rPr>
        <w:t>29</w:t>
      </w:r>
      <w:r w:rsidRPr="00B86954">
        <w:rPr>
          <w:rFonts w:cs="Arial"/>
          <w:noProof/>
          <w:color w:val="000000"/>
          <w:sz w:val="16"/>
          <w:szCs w:val="16"/>
          <w:shd w:val="clear" w:color="auto" w:fill="FFFFFF"/>
          <w:lang w:val="en-US"/>
        </w:rPr>
        <w:t xml:space="preserve"> </w:t>
      </w:r>
      <w:r w:rsidRPr="00B86954">
        <w:rPr>
          <w:rFonts w:cs="Arial"/>
          <w:noProof/>
          <w:color w:val="000000"/>
          <w:sz w:val="16"/>
          <w:shd w:val="clear" w:color="auto" w:fill="FFFFFF"/>
          <w:lang w:val="en-US"/>
        </w:rPr>
        <w:t>Laboratory of Vector Control Research, Environment and Health Unit, Institut Pasteur de la Guadeloupe, Guadeloupe, France.</w:t>
      </w:r>
    </w:p>
    <w:p w:rsidR="00C64746" w:rsidRDefault="00C64746" w:rsidP="00C64746">
      <w:pPr>
        <w:spacing w:line="276" w:lineRule="auto"/>
        <w:rPr>
          <w:sz w:val="20"/>
          <w:lang w:val="en-GB"/>
        </w:rPr>
      </w:pPr>
    </w:p>
    <w:p w:rsidR="00C64746" w:rsidRDefault="00C64746" w:rsidP="00C64746">
      <w:pPr>
        <w:spacing w:line="276" w:lineRule="auto"/>
        <w:rPr>
          <w:sz w:val="20"/>
          <w:lang w:val="en-GB"/>
        </w:rPr>
      </w:pPr>
      <w:r w:rsidRPr="00575ED9">
        <w:rPr>
          <w:sz w:val="20"/>
          <w:lang w:val="en-GB"/>
        </w:rPr>
        <w:t xml:space="preserve">The </w:t>
      </w:r>
      <w:proofErr w:type="spellStart"/>
      <w:r w:rsidRPr="00575ED9">
        <w:rPr>
          <w:sz w:val="20"/>
          <w:lang w:val="en-GB"/>
        </w:rPr>
        <w:t>GloPID</w:t>
      </w:r>
      <w:proofErr w:type="spellEnd"/>
      <w:r w:rsidRPr="00575ED9">
        <w:rPr>
          <w:sz w:val="20"/>
          <w:lang w:val="en-GB"/>
        </w:rPr>
        <w:t>-R (Global Research Collaboration for Infectious Disease Preparedness</w:t>
      </w:r>
      <w:r>
        <w:rPr>
          <w:sz w:val="20"/>
          <w:lang w:val="en-GB"/>
        </w:rPr>
        <w:t xml:space="preserve">, </w:t>
      </w:r>
      <w:hyperlink r:id="rId4" w:history="1">
        <w:r w:rsidRPr="00CF0B10">
          <w:rPr>
            <w:rStyle w:val="Lienhypertexte"/>
            <w:sz w:val="20"/>
            <w:lang w:val="en-GB"/>
          </w:rPr>
          <w:t>https://www.glopid-r.org/</w:t>
        </w:r>
      </w:hyperlink>
      <w:r w:rsidRPr="00575ED9">
        <w:rPr>
          <w:sz w:val="20"/>
          <w:lang w:val="en-GB"/>
        </w:rPr>
        <w:t xml:space="preserve">) Chikungunya (CHIKV), </w:t>
      </w:r>
      <w:proofErr w:type="spellStart"/>
      <w:r w:rsidRPr="00575ED9">
        <w:rPr>
          <w:sz w:val="20"/>
          <w:lang w:val="en-GB"/>
        </w:rPr>
        <w:t>O’nyong-nyong</w:t>
      </w:r>
      <w:proofErr w:type="spellEnd"/>
      <w:r w:rsidRPr="00575ED9">
        <w:rPr>
          <w:sz w:val="20"/>
          <w:lang w:val="en-GB"/>
        </w:rPr>
        <w:t xml:space="preserve"> (ONNV) and </w:t>
      </w:r>
      <w:proofErr w:type="spellStart"/>
      <w:r w:rsidRPr="00575ED9">
        <w:rPr>
          <w:sz w:val="20"/>
          <w:lang w:val="en-GB"/>
        </w:rPr>
        <w:t>Mayaro</w:t>
      </w:r>
      <w:proofErr w:type="spellEnd"/>
      <w:r w:rsidRPr="00575ED9">
        <w:rPr>
          <w:sz w:val="20"/>
          <w:lang w:val="en-GB"/>
        </w:rPr>
        <w:t xml:space="preserve"> virus (MAYV) Working Group is investigating the natural history, epidemiology and medical management of infection by these viruses, to identify knowledge gaps and to propose recommendations for direct future investigations and rectification measures. </w:t>
      </w:r>
      <w:r>
        <w:rPr>
          <w:sz w:val="20"/>
          <w:lang w:val="en-GB"/>
        </w:rPr>
        <w:t xml:space="preserve">This first report is </w:t>
      </w:r>
      <w:r w:rsidRPr="00575ED9">
        <w:rPr>
          <w:sz w:val="20"/>
          <w:lang w:val="en-GB"/>
        </w:rPr>
        <w:t>dedicated to diagnostic aspects of CHIKV, ONNV and MAYV.</w:t>
      </w:r>
    </w:p>
    <w:p w:rsidR="00C64746" w:rsidRPr="00C64746" w:rsidRDefault="00C64746">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5"/>
        <w:gridCol w:w="2265"/>
        <w:gridCol w:w="2266"/>
        <w:gridCol w:w="2266"/>
      </w:tblGrid>
      <w:tr w:rsidR="00C64746" w:rsidRPr="00CD6287"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Kit</w:t>
            </w:r>
          </w:p>
        </w:tc>
        <w:tc>
          <w:tcPr>
            <w:tcW w:w="1250" w:type="pct"/>
            <w:shd w:val="clear" w:color="auto" w:fill="auto"/>
            <w:noWrap/>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Company</w:t>
            </w:r>
          </w:p>
        </w:tc>
        <w:tc>
          <w:tcPr>
            <w:tcW w:w="1250" w:type="pct"/>
            <w:shd w:val="clear" w:color="auto" w:fill="auto"/>
            <w:noWrap/>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Method</w:t>
            </w:r>
          </w:p>
        </w:tc>
        <w:tc>
          <w:tcPr>
            <w:tcW w:w="1250" w:type="pct"/>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Published evaluation</w:t>
            </w:r>
          </w:p>
        </w:tc>
      </w:tr>
      <w:tr w:rsidR="00C64746" w:rsidRPr="00CD6287"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Human Anti-CHIKV IgG ELISA Kit</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Abcam</w:t>
            </w:r>
            <w:proofErr w:type="spellEnd"/>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CD6287" w:rsidTr="006B6533">
        <w:trPr>
          <w:trHeight w:val="567"/>
        </w:trPr>
        <w:tc>
          <w:tcPr>
            <w:tcW w:w="1250" w:type="pct"/>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Chikungunya Virus IgG capture ELISA Kit</w:t>
            </w:r>
          </w:p>
        </w:tc>
        <w:tc>
          <w:tcPr>
            <w:tcW w:w="1250" w:type="pct"/>
            <w:vMerge w:val="restart"/>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CD Creative Diagnostics</w:t>
            </w:r>
          </w:p>
        </w:tc>
        <w:tc>
          <w:tcPr>
            <w:tcW w:w="1250" w:type="pct"/>
            <w:vMerge w:val="restart"/>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CD6287" w:rsidTr="006B6533">
        <w:trPr>
          <w:trHeight w:val="567"/>
        </w:trPr>
        <w:tc>
          <w:tcPr>
            <w:tcW w:w="1250" w:type="pct"/>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Human Chikungunya IgG ELISA Kit</w:t>
            </w:r>
          </w:p>
        </w:tc>
        <w:tc>
          <w:tcPr>
            <w:tcW w:w="1250" w:type="pct"/>
            <w:vMerge/>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p>
        </w:tc>
        <w:tc>
          <w:tcPr>
            <w:tcW w:w="1250" w:type="pct"/>
            <w:vMerge/>
            <w:shd w:val="clear" w:color="auto" w:fill="auto"/>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CD6287" w:rsidTr="006B6533">
        <w:trPr>
          <w:trHeight w:val="567"/>
        </w:trPr>
        <w:tc>
          <w:tcPr>
            <w:tcW w:w="1250" w:type="pct"/>
            <w:shd w:val="clear" w:color="auto" w:fill="auto"/>
            <w:vAlign w:val="center"/>
            <w:hideMark/>
          </w:tcPr>
          <w:p w:rsidR="00C64746" w:rsidRPr="000D4F59" w:rsidRDefault="007D59CA" w:rsidP="00CD0C4F">
            <w:pPr>
              <w:spacing w:line="240" w:lineRule="auto"/>
              <w:rPr>
                <w:rFonts w:eastAsia="Times New Roman" w:cs="Times New Roman"/>
                <w:color w:val="000000" w:themeColor="text1"/>
                <w:sz w:val="16"/>
                <w:szCs w:val="16"/>
                <w:lang w:val="en-GB" w:eastAsia="fr-FR"/>
              </w:rPr>
            </w:pPr>
            <w:hyperlink r:id="rId5" w:history="1">
              <w:r w:rsidR="00C64746" w:rsidRPr="000D4F59">
                <w:rPr>
                  <w:rFonts w:eastAsia="Times New Roman" w:cs="Times New Roman"/>
                  <w:color w:val="000000" w:themeColor="text1"/>
                  <w:sz w:val="16"/>
                  <w:szCs w:val="16"/>
                  <w:lang w:val="en-GB" w:eastAsia="fr-FR"/>
                </w:rPr>
                <w:t>CHIKUNGUNYA IgG</w:t>
              </w:r>
            </w:hyperlink>
            <w:r w:rsidR="00C64746" w:rsidRPr="000D4F59">
              <w:rPr>
                <w:rFonts w:eastAsia="Times New Roman" w:cs="Times New Roman"/>
                <w:color w:val="000000" w:themeColor="text1"/>
                <w:sz w:val="16"/>
                <w:szCs w:val="16"/>
                <w:lang w:val="en-GB" w:eastAsia="fr-FR"/>
              </w:rPr>
              <w:t xml:space="preserve"> ELISA</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Diesse</w:t>
            </w:r>
            <w:proofErr w:type="spellEnd"/>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0D4F59"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Anti CHIKV IFFT</w:t>
            </w:r>
          </w:p>
        </w:tc>
        <w:tc>
          <w:tcPr>
            <w:tcW w:w="1250" w:type="pct"/>
            <w:vMerge w:val="restar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EUROIMMUN</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IFFT</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fldChar w:fldCharType="begin"/>
            </w:r>
            <w:r>
              <w:rPr>
                <w:rFonts w:eastAsia="Times New Roman" w:cs="Times New Roman"/>
                <w:color w:val="000000" w:themeColor="text1"/>
                <w:sz w:val="16"/>
                <w:szCs w:val="16"/>
                <w:lang w:val="en-GB" w:eastAsia="fr-FR"/>
              </w:rPr>
              <w:instrText xml:space="preserve"> ADDIN ZOTERO_ITEM CSL_CITATION {"citationID":"a3isagv4ii","properties":{"formattedCitation":"(1)","plainCitation":"(1)","noteIndex":0},"citationItems":[{"id":357,"uris":["http://zotero.org/users/4513013/items/PMBLAW5E"],"uri":["http://zotero.org/users/4513013/items/PMBLAW5E"],"itemData":{"id":357,"type":"article-journal","title":"Evaluation of the first commercial chikungunya virus indirect immunofluorescence test","container-title":"Journal of Virological Methods","page":"175–179","volume":"149","issue":"1","abstract":"The chikungunya virus (CHIKV), an arbovirus of the genus Alphavirus, family Togaviridae, is mainly transmitted by Aedes mosquitoes. It causes an acute infection, characterized by high fever, polyarthralgia and rash and was responsible for a major outbreak which started in 2005 and spread over many islands of the south western Indian Ocean before it hit the Indian subcontinent. As nucleic acid amplification can be used only during the viremic period, serological tests are most widely used for the diagnosis of CHIKV infections. CHIKV IgM and IgG antibodies can be detected as soon as 3-6 days after clinical onset, respectively. Presently only in-house ELISA and immunofluorescence tests exist for analysing the CHIKV specific immune response. The first commercial indirect immunofluorescence test (IIFT) (EUROIMMUN AG, L??ebeck, Germany) was evaluated using two sera panels of patients from La Reunion and travellers returning with CHIKV infections from the Indian Ocean region. The IgM IIFT shows a specificity of 98.3% and a sensitivity of 96.9%. The specificity and sensitivity for the IgG IIFT are 100.0% and 95.4%, respectively. This commercial IIFT is a valuable tool for the diagnosis of CHIKV infections and antibody seroprevalence studies. ?? 2008 Elsevier B.V. All rights reserved.","DOI":"10.1016/j.jviromet.2008.01.004","ISSN":"01660934","note":"PMID: 18294706","author":[{"family":"Litzba","given":"Nadine"},{"family":"Schuffenecker","given":"Isabelle"},{"family":"Zeller","given":"Herv??"},{"family":"Drosten","given":"Christian"},{"family":"Emmerich","given":"Petra"},{"family":"Charrel","given":"Remi"},{"family":"Kreher","given":"Petra"},{"family":"Niedrig","given":"Matthias"}],"issued":{"date-parts":[["2008"]]}}}],"schema":"https://github.com/citation-style-language/schema/raw/master/csl-citation.json"} </w:instrText>
            </w:r>
            <w:r w:rsidRPr="000D4F59">
              <w:rPr>
                <w:rFonts w:eastAsia="Times New Roman" w:cs="Times New Roman"/>
                <w:color w:val="000000" w:themeColor="text1"/>
                <w:sz w:val="16"/>
                <w:szCs w:val="16"/>
                <w:lang w:val="en-GB" w:eastAsia="fr-FR"/>
              </w:rPr>
              <w:fldChar w:fldCharType="separate"/>
            </w:r>
            <w:r w:rsidRPr="00387C14">
              <w:rPr>
                <w:rFonts w:ascii="Calibri" w:hAnsi="Calibri"/>
                <w:sz w:val="16"/>
              </w:rPr>
              <w:t>(1)</w:t>
            </w:r>
            <w:r w:rsidRPr="000D4F59">
              <w:rPr>
                <w:rFonts w:eastAsia="Times New Roman" w:cs="Times New Roman"/>
                <w:color w:val="000000" w:themeColor="text1"/>
                <w:sz w:val="16"/>
                <w:szCs w:val="16"/>
                <w:lang w:val="en-GB" w:eastAsia="fr-FR"/>
              </w:rPr>
              <w:fldChar w:fldCharType="end"/>
            </w:r>
          </w:p>
        </w:tc>
      </w:tr>
      <w:tr w:rsidR="00C64746" w:rsidRPr="000D4F59"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Arial"/>
                <w:color w:val="000000" w:themeColor="text1"/>
                <w:sz w:val="16"/>
                <w:szCs w:val="16"/>
                <w:lang w:val="en-GB" w:eastAsia="fr-FR"/>
              </w:rPr>
            </w:pPr>
            <w:r w:rsidRPr="000D4F59">
              <w:rPr>
                <w:rFonts w:eastAsia="Times New Roman" w:cs="Arial"/>
                <w:color w:val="000000" w:themeColor="text1"/>
                <w:sz w:val="16"/>
                <w:szCs w:val="16"/>
                <w:lang w:val="en-GB" w:eastAsia="fr-FR"/>
              </w:rPr>
              <w:t>Anti-CHIKV ELISA (IgG)</w:t>
            </w:r>
          </w:p>
        </w:tc>
        <w:tc>
          <w:tcPr>
            <w:tcW w:w="1250" w:type="pct"/>
            <w:vMerge/>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fldChar w:fldCharType="begin"/>
            </w:r>
            <w:r>
              <w:rPr>
                <w:rFonts w:eastAsia="Times New Roman" w:cs="Times New Roman"/>
                <w:color w:val="000000" w:themeColor="text1"/>
                <w:sz w:val="16"/>
                <w:szCs w:val="16"/>
                <w:lang w:val="en-GB" w:eastAsia="fr-FR"/>
              </w:rPr>
              <w:instrText xml:space="preserve"> ADDIN ZOTERO_ITEM CSL_CITATION {"citationID":"ari0adt7pr","properties":{"formattedCitation":"(2)","plainCitation":"(2)","noteIndex":0},"citationItems":[{"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schema":"https://github.com/citation-style-language/schema/raw/master/csl-citation.json"} </w:instrText>
            </w:r>
            <w:r w:rsidRPr="000D4F59">
              <w:rPr>
                <w:rFonts w:eastAsia="Times New Roman" w:cs="Times New Roman"/>
                <w:color w:val="000000" w:themeColor="text1"/>
                <w:sz w:val="16"/>
                <w:szCs w:val="16"/>
                <w:lang w:val="en-GB" w:eastAsia="fr-FR"/>
              </w:rPr>
              <w:fldChar w:fldCharType="separate"/>
            </w:r>
            <w:r w:rsidRPr="00387C14">
              <w:rPr>
                <w:rFonts w:ascii="Calibri" w:hAnsi="Calibri"/>
                <w:sz w:val="16"/>
              </w:rPr>
              <w:t>(2)</w:t>
            </w:r>
            <w:r w:rsidRPr="000D4F59">
              <w:rPr>
                <w:rFonts w:eastAsia="Times New Roman" w:cs="Times New Roman"/>
                <w:color w:val="000000" w:themeColor="text1"/>
                <w:sz w:val="16"/>
                <w:szCs w:val="16"/>
                <w:lang w:val="en-GB" w:eastAsia="fr-FR"/>
              </w:rPr>
              <w:fldChar w:fldCharType="end"/>
            </w:r>
          </w:p>
        </w:tc>
      </w:tr>
      <w:tr w:rsidR="00C64746" w:rsidRPr="000D4F59"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Arial"/>
                <w:color w:val="000000" w:themeColor="text1"/>
                <w:sz w:val="16"/>
                <w:szCs w:val="16"/>
                <w:lang w:val="en-GB" w:eastAsia="fr-FR"/>
              </w:rPr>
            </w:pPr>
            <w:r w:rsidRPr="000D4F59">
              <w:rPr>
                <w:rFonts w:eastAsia="Times New Roman" w:cs="Arial"/>
                <w:color w:val="000000" w:themeColor="text1"/>
                <w:sz w:val="16"/>
                <w:szCs w:val="16"/>
                <w:lang w:val="en-GB" w:eastAsia="fr-FR"/>
              </w:rPr>
              <w:t>Chikungunya Virus IgG ELISA</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GenWay</w:t>
            </w:r>
            <w:proofErr w:type="spellEnd"/>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0D4F59"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Chikungunya IgG ELISA</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IBL International</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r w:rsidR="00C64746" w:rsidRPr="000D4F59" w:rsidTr="006B6533">
        <w:trPr>
          <w:trHeight w:val="567"/>
        </w:trPr>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CHIKjj</w:t>
            </w:r>
            <w:proofErr w:type="spellEnd"/>
            <w:r w:rsidRPr="000D4F59">
              <w:rPr>
                <w:rFonts w:eastAsia="Times New Roman" w:cs="Times New Roman"/>
                <w:color w:val="000000" w:themeColor="text1"/>
                <w:sz w:val="16"/>
                <w:szCs w:val="16"/>
                <w:lang w:val="en-GB" w:eastAsia="fr-FR"/>
              </w:rPr>
              <w:t> </w:t>
            </w:r>
            <w:proofErr w:type="spellStart"/>
            <w:r w:rsidRPr="000D4F59">
              <w:rPr>
                <w:rFonts w:eastAsia="Times New Roman" w:cs="Times New Roman"/>
                <w:i/>
                <w:iCs/>
                <w:color w:val="000000" w:themeColor="text1"/>
                <w:sz w:val="16"/>
                <w:szCs w:val="16"/>
                <w:lang w:val="en-GB" w:eastAsia="fr-FR"/>
              </w:rPr>
              <w:t>Detect</w:t>
            </w:r>
            <w:r w:rsidRPr="000D4F59">
              <w:rPr>
                <w:rFonts w:eastAsia="Times New Roman" w:cs="Times New Roman"/>
                <w:color w:val="000000" w:themeColor="text1"/>
                <w:sz w:val="16"/>
                <w:szCs w:val="16"/>
                <w:lang w:val="en-GB" w:eastAsia="fr-FR"/>
              </w:rPr>
              <w:t>™IgG</w:t>
            </w:r>
            <w:proofErr w:type="spellEnd"/>
            <w:r w:rsidRPr="000D4F59">
              <w:rPr>
                <w:rFonts w:eastAsia="Times New Roman" w:cs="Times New Roman"/>
                <w:color w:val="000000" w:themeColor="text1"/>
                <w:sz w:val="16"/>
                <w:szCs w:val="16"/>
                <w:lang w:val="en-GB" w:eastAsia="fr-FR"/>
              </w:rPr>
              <w:t xml:space="preserve"> ELISA Kit</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InBios</w:t>
            </w:r>
            <w:proofErr w:type="spellEnd"/>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fldChar w:fldCharType="begin"/>
            </w:r>
            <w:r>
              <w:rPr>
                <w:rFonts w:eastAsia="Times New Roman" w:cs="Times New Roman"/>
                <w:color w:val="000000" w:themeColor="text1"/>
                <w:sz w:val="16"/>
                <w:szCs w:val="16"/>
                <w:lang w:val="en-GB" w:eastAsia="fr-FR"/>
              </w:rPr>
              <w:instrText xml:space="preserve"> ADDIN ZOTERO_ITEM CSL_CITATION {"citationID":"a1bph9aqamb","properties":{"formattedCitation":"(2)","plainCitation":"(2)","noteIndex":0},"citationItems":[{"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schema":"https://github.com/citation-style-language/schema/raw/master/csl-citation.json"} </w:instrText>
            </w:r>
            <w:r w:rsidRPr="000D4F59">
              <w:rPr>
                <w:rFonts w:eastAsia="Times New Roman" w:cs="Times New Roman"/>
                <w:color w:val="000000" w:themeColor="text1"/>
                <w:sz w:val="16"/>
                <w:szCs w:val="16"/>
                <w:lang w:val="en-GB" w:eastAsia="fr-FR"/>
              </w:rPr>
              <w:fldChar w:fldCharType="separate"/>
            </w:r>
            <w:r w:rsidRPr="00387C14">
              <w:rPr>
                <w:rFonts w:ascii="Calibri" w:hAnsi="Calibri"/>
                <w:sz w:val="16"/>
              </w:rPr>
              <w:t>(2)</w:t>
            </w:r>
            <w:r w:rsidRPr="000D4F59">
              <w:rPr>
                <w:rFonts w:eastAsia="Times New Roman" w:cs="Times New Roman"/>
                <w:color w:val="000000" w:themeColor="text1"/>
                <w:sz w:val="16"/>
                <w:szCs w:val="16"/>
                <w:lang w:val="en-GB" w:eastAsia="fr-FR"/>
              </w:rPr>
              <w:fldChar w:fldCharType="end"/>
            </w:r>
          </w:p>
        </w:tc>
      </w:tr>
      <w:tr w:rsidR="00C64746" w:rsidRPr="00083FFF" w:rsidTr="006B6533">
        <w:trPr>
          <w:trHeight w:val="567"/>
        </w:trPr>
        <w:tc>
          <w:tcPr>
            <w:tcW w:w="1250" w:type="pct"/>
            <w:shd w:val="clear" w:color="auto" w:fill="auto"/>
            <w:vAlign w:val="center"/>
            <w:hideMark/>
          </w:tcPr>
          <w:p w:rsidR="00C64746" w:rsidRPr="002E775B" w:rsidRDefault="00C64746" w:rsidP="00CD0C4F">
            <w:pPr>
              <w:spacing w:line="240" w:lineRule="auto"/>
              <w:rPr>
                <w:rFonts w:eastAsia="Times New Roman" w:cs="Times New Roman"/>
                <w:color w:val="000000" w:themeColor="text1"/>
                <w:sz w:val="16"/>
                <w:szCs w:val="16"/>
                <w:lang w:val="it-IT" w:eastAsia="fr-FR"/>
              </w:rPr>
            </w:pPr>
            <w:r w:rsidRPr="002E775B">
              <w:rPr>
                <w:rFonts w:eastAsia="Times New Roman" w:cs="Times New Roman"/>
                <w:color w:val="000000" w:themeColor="text1"/>
                <w:sz w:val="16"/>
                <w:szCs w:val="16"/>
                <w:lang w:val="it-IT" w:eastAsia="fr-FR"/>
              </w:rPr>
              <w:t>NovaLisa Chikungunya IgG µ-capture ELISA</w:t>
            </w:r>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proofErr w:type="spellStart"/>
            <w:r w:rsidRPr="000D4F59">
              <w:rPr>
                <w:rFonts w:eastAsia="Times New Roman" w:cs="Times New Roman"/>
                <w:color w:val="000000" w:themeColor="text1"/>
                <w:sz w:val="16"/>
                <w:szCs w:val="16"/>
                <w:lang w:val="en-GB" w:eastAsia="fr-FR"/>
              </w:rPr>
              <w:t>Novatec</w:t>
            </w:r>
            <w:proofErr w:type="spellEnd"/>
          </w:p>
        </w:tc>
        <w:tc>
          <w:tcPr>
            <w:tcW w:w="1250" w:type="pct"/>
            <w:shd w:val="clear" w:color="auto" w:fill="auto"/>
            <w:vAlign w:val="center"/>
            <w:hideMark/>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IgG ELISA</w:t>
            </w:r>
          </w:p>
        </w:tc>
        <w:tc>
          <w:tcPr>
            <w:tcW w:w="1250" w:type="pct"/>
            <w:vAlign w:val="center"/>
          </w:tcPr>
          <w:p w:rsidR="00C64746" w:rsidRPr="000D4F59" w:rsidRDefault="00C64746" w:rsidP="00CD0C4F">
            <w:pPr>
              <w:spacing w:line="240" w:lineRule="auto"/>
              <w:rPr>
                <w:rFonts w:eastAsia="Times New Roman" w:cs="Times New Roman"/>
                <w:color w:val="000000" w:themeColor="text1"/>
                <w:sz w:val="16"/>
                <w:szCs w:val="16"/>
                <w:lang w:val="en-GB" w:eastAsia="fr-FR"/>
              </w:rPr>
            </w:pPr>
            <w:r w:rsidRPr="000D4F59">
              <w:rPr>
                <w:rFonts w:eastAsia="Times New Roman" w:cs="Times New Roman"/>
                <w:color w:val="000000" w:themeColor="text1"/>
                <w:sz w:val="16"/>
                <w:szCs w:val="16"/>
                <w:lang w:val="en-GB" w:eastAsia="fr-FR"/>
              </w:rPr>
              <w:t>NA</w:t>
            </w:r>
          </w:p>
        </w:tc>
      </w:tr>
    </w:tbl>
    <w:p w:rsidR="002B495A" w:rsidRPr="000D4F59" w:rsidRDefault="002B495A" w:rsidP="00C64746">
      <w:pPr>
        <w:spacing w:before="240"/>
        <w:rPr>
          <w:sz w:val="20"/>
          <w:lang w:val="en-GB"/>
        </w:rPr>
      </w:pPr>
      <w:r>
        <w:rPr>
          <w:sz w:val="20"/>
          <w:lang w:val="en-GB"/>
        </w:rPr>
        <w:t xml:space="preserve">Supplementary </w:t>
      </w:r>
      <w:proofErr w:type="gramStart"/>
      <w:r>
        <w:rPr>
          <w:sz w:val="20"/>
          <w:lang w:val="en-GB"/>
        </w:rPr>
        <w:t>data</w:t>
      </w:r>
      <w:proofErr w:type="gramEnd"/>
      <w:r>
        <w:rPr>
          <w:sz w:val="20"/>
          <w:lang w:val="en-GB"/>
        </w:rPr>
        <w:t>-Table 3</w:t>
      </w:r>
      <w:r w:rsidRPr="000D4F59">
        <w:rPr>
          <w:sz w:val="20"/>
          <w:lang w:val="en-GB"/>
        </w:rPr>
        <w:t>. Commercially available tests for the detection of anti-CHIKV IgG</w:t>
      </w:r>
      <w:r w:rsidR="002463A1">
        <w:rPr>
          <w:sz w:val="20"/>
          <w:lang w:val="en-GB"/>
        </w:rPr>
        <w:t xml:space="preserve"> antibodies</w:t>
      </w:r>
      <w:r w:rsidRPr="000D4F59">
        <w:rPr>
          <w:sz w:val="20"/>
          <w:lang w:val="en-GB"/>
        </w:rPr>
        <w:t>.</w:t>
      </w:r>
    </w:p>
    <w:p w:rsidR="002B495A" w:rsidRPr="00387C14" w:rsidRDefault="002B495A" w:rsidP="00387C14">
      <w:pPr>
        <w:spacing w:line="480" w:lineRule="auto"/>
        <w:rPr>
          <w:sz w:val="20"/>
          <w:szCs w:val="20"/>
          <w:lang w:val="en-GB"/>
        </w:rPr>
      </w:pPr>
    </w:p>
    <w:p w:rsidR="00387C14" w:rsidRPr="00387C14" w:rsidRDefault="00387C14" w:rsidP="00C64746">
      <w:pPr>
        <w:pStyle w:val="Bibliographie"/>
        <w:spacing w:line="276" w:lineRule="auto"/>
        <w:rPr>
          <w:sz w:val="20"/>
          <w:szCs w:val="20"/>
          <w:lang w:val="en-US"/>
        </w:rPr>
      </w:pPr>
      <w:r w:rsidRPr="00387C14">
        <w:rPr>
          <w:sz w:val="20"/>
          <w:szCs w:val="20"/>
          <w:lang w:val="en-GB"/>
        </w:rPr>
        <w:fldChar w:fldCharType="begin"/>
      </w:r>
      <w:r w:rsidRPr="00387C14">
        <w:rPr>
          <w:sz w:val="20"/>
          <w:szCs w:val="20"/>
          <w:lang w:val="en-GB"/>
        </w:rPr>
        <w:instrText xml:space="preserve"> ADDIN ZOTERO_BIBL {"uncited":[],"omitted":[],"custom":[]} CSL_BIBLIOGRAPHY </w:instrText>
      </w:r>
      <w:r w:rsidRPr="00387C14">
        <w:rPr>
          <w:sz w:val="20"/>
          <w:szCs w:val="20"/>
          <w:lang w:val="en-GB"/>
        </w:rPr>
        <w:fldChar w:fldCharType="separate"/>
      </w:r>
      <w:r w:rsidRPr="00387C14">
        <w:rPr>
          <w:sz w:val="20"/>
          <w:szCs w:val="20"/>
          <w:lang w:val="en-US"/>
        </w:rPr>
        <w:t xml:space="preserve">1. </w:t>
      </w:r>
      <w:r w:rsidRPr="00387C14">
        <w:rPr>
          <w:sz w:val="20"/>
          <w:szCs w:val="20"/>
          <w:lang w:val="en-US"/>
        </w:rPr>
        <w:tab/>
        <w:t xml:space="preserve">Litzba N, Schuffenecker I, Zeller H, Drosten C, Emmerich P, Charrel R, et al. Evaluation of the first commercial chikungunya virus indirect immunofluorescence test. Journal of Virological Methods. 2008;149(1):175–179. </w:t>
      </w:r>
    </w:p>
    <w:p w:rsidR="00387C14" w:rsidRPr="00387C14" w:rsidRDefault="00387C14" w:rsidP="00C64746">
      <w:pPr>
        <w:pStyle w:val="Bibliographie"/>
        <w:spacing w:line="276" w:lineRule="auto"/>
        <w:rPr>
          <w:sz w:val="20"/>
          <w:szCs w:val="20"/>
        </w:rPr>
      </w:pPr>
      <w:r w:rsidRPr="00387C14">
        <w:rPr>
          <w:sz w:val="20"/>
          <w:szCs w:val="20"/>
          <w:lang w:val="en-US"/>
        </w:rPr>
        <w:t xml:space="preserve">2. </w:t>
      </w:r>
      <w:r w:rsidRPr="00387C14">
        <w:rPr>
          <w:sz w:val="20"/>
          <w:szCs w:val="20"/>
          <w:lang w:val="en-US"/>
        </w:rPr>
        <w:tab/>
        <w:t xml:space="preserve">Prat CM, Flusin O, Panella A, Tenebray B, Lanciotti R, Leparc-Goffart I. Evaluation of Commercially Available Serologic Diagnostic Tests for Chikungunya Virus. </w:t>
      </w:r>
      <w:r w:rsidRPr="00387C14">
        <w:rPr>
          <w:sz w:val="20"/>
          <w:szCs w:val="20"/>
        </w:rPr>
        <w:t xml:space="preserve">Emerg Infect Dis. 2014 Dec;20(12):2129–32. </w:t>
      </w:r>
    </w:p>
    <w:p w:rsidR="00387C14" w:rsidRPr="002B495A" w:rsidRDefault="00387C14" w:rsidP="00C64746">
      <w:pPr>
        <w:spacing w:line="276" w:lineRule="auto"/>
        <w:rPr>
          <w:lang w:val="en-GB"/>
        </w:rPr>
      </w:pPr>
      <w:r w:rsidRPr="00387C14">
        <w:rPr>
          <w:sz w:val="20"/>
          <w:szCs w:val="20"/>
          <w:lang w:val="en-GB"/>
        </w:rPr>
        <w:fldChar w:fldCharType="end"/>
      </w:r>
    </w:p>
    <w:sectPr w:rsidR="00387C14" w:rsidRPr="002B49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080"/>
    <w:rsid w:val="00230080"/>
    <w:rsid w:val="002463A1"/>
    <w:rsid w:val="002B495A"/>
    <w:rsid w:val="00387C14"/>
    <w:rsid w:val="00456724"/>
    <w:rsid w:val="005E2C8E"/>
    <w:rsid w:val="006B6533"/>
    <w:rsid w:val="007D59CA"/>
    <w:rsid w:val="008340A0"/>
    <w:rsid w:val="00C64746"/>
    <w:rsid w:val="00E979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F1D52-4BF2-4BC9-B038-3F1129DA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Bibliographie">
    <w:name w:val="Bibliography"/>
    <w:basedOn w:val="Normal"/>
    <w:next w:val="Normal"/>
    <w:uiPriority w:val="37"/>
    <w:unhideWhenUsed/>
    <w:rsid w:val="00387C14"/>
    <w:pPr>
      <w:tabs>
        <w:tab w:val="left" w:pos="384"/>
      </w:tabs>
      <w:spacing w:after="240" w:line="240" w:lineRule="auto"/>
      <w:ind w:left="384" w:hanging="384"/>
    </w:pPr>
  </w:style>
  <w:style w:type="character" w:customStyle="1" w:styleId="highlight">
    <w:name w:val="highlight"/>
    <w:basedOn w:val="Policepardfaut"/>
    <w:rsid w:val="00C64746"/>
  </w:style>
  <w:style w:type="character" w:styleId="Lienhypertexte">
    <w:name w:val="Hyperlink"/>
    <w:basedOn w:val="Policepardfaut"/>
    <w:uiPriority w:val="99"/>
    <w:unhideWhenUsed/>
    <w:rsid w:val="00C647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94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 = '1.0' encoding = 'UTF-8' standalone = '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hyperlink" TargetMode="External" Target="https://www.glopid-r.org/"/>
   <Relationship Id="rId5" Type="http://schemas.openxmlformats.org/officeDocument/2006/relationships/hyperlink" TargetMode="External" Target="http://www.diesse.it/en/Products/dettaglio:272/Chorus-Chikungunya"/>
   <Relationship Id="rId6" Type="http://schemas.openxmlformats.org/officeDocument/2006/relationships/fontTable" Target="fontTable.xml"/>
   <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otalTime>2</TotalTime>
  <Pages>2</Pages>
  <Words>1736</Words>
  <Characters>9550</Characters>
  <Application>Microsoft Office Word</Application>
  <DocSecurity>0</DocSecurity>
  <Lines>79</Lines>
  <Paragraphs>22</Paragraphs>
  <ScaleCrop>false</ScaleCrop>
  <Company/>
  <LinksUpToDate>false</LinksUpToDate>
  <CharactersWithSpaces>11264</CharactersWithSpaces>
  <SharedDoc>false</SharedDoc>
  <HyperlinksChanged>false</HyperlinksChanged>
  <AppVersion>16.0000</AppVersion>
  <Manager/>
  <HyperlinkBase/>
</Properties>
</file>

<file path=docProps/core.xml><?xml version="1.0" encoding="utf-8"?>
<cp:coreProperties xmlns:cp="http://schemas.openxmlformats.org/package/2006/metadata/core-properties" xmlns:dc="http://purl.org/dc/elements/1.1/" xmlns:dcterms="http://purl.org/dc/terms/" xmlns:xsi="http://www.w3.org/2001/XMLSchema-instance"/>
</file>

<file path=docProps/custom.xml><?xml version="1.0" encoding="utf-8"?>
<Properties xmlns="http://schemas.openxmlformats.org/officeDocument/2006/custom-properties" xmlns:vt="http://schemas.openxmlformats.org/officeDocument/2006/docPropsVTypes"/>
</file>