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139" w:rsidRPr="00996139" w:rsidRDefault="00996139" w:rsidP="00996139">
      <w:pPr>
        <w:spacing w:after="0" w:line="480" w:lineRule="auto"/>
        <w:rPr>
          <w:rFonts w:ascii="Arial" w:eastAsia="MS Mincho" w:hAnsi="Arial" w:cs="Arial"/>
          <w:b/>
          <w:lang w:eastAsia="ja-JP"/>
        </w:rPr>
      </w:pPr>
      <w:bookmarkStart w:id="0" w:name="_GoBack"/>
      <w:bookmarkEnd w:id="0"/>
      <w:r w:rsidRPr="00996139">
        <w:rPr>
          <w:rFonts w:ascii="Arial" w:eastAsia="MS Mincho" w:hAnsi="Arial" w:cs="Arial"/>
          <w:b/>
          <w:lang w:eastAsia="ja-JP"/>
        </w:rPr>
        <w:t>Supplementary Table 1</w:t>
      </w:r>
    </w:p>
    <w:p w:rsidR="00996139" w:rsidRPr="00996139" w:rsidRDefault="00996139" w:rsidP="00996139">
      <w:pPr>
        <w:spacing w:after="0" w:line="480" w:lineRule="auto"/>
        <w:rPr>
          <w:rFonts w:ascii="Arial" w:eastAsia="MS Mincho" w:hAnsi="Arial" w:cs="Arial"/>
          <w:lang w:eastAsia="ja-JP"/>
        </w:rPr>
      </w:pPr>
      <w:r w:rsidRPr="00996139">
        <w:rPr>
          <w:rFonts w:ascii="Arial" w:eastAsia="MS Mincho" w:hAnsi="Arial" w:cs="Arial"/>
          <w:lang w:eastAsia="ja-JP"/>
        </w:rPr>
        <w:t>Demographics and Baseline Characteristics of the Primary Non-Hodgkin’s Lymphoma Population Enrolled in Study 3101 Stratified by Treatment Group</w:t>
      </w:r>
      <w:r w:rsidRPr="00996139">
        <w:rPr>
          <w:rFonts w:ascii="Arial" w:eastAsia="MS Mincho" w:hAnsi="Arial" w:cs="Times New Roman"/>
          <w:szCs w:val="24"/>
          <w:vertAlign w:val="superscript"/>
          <w:lang w:eastAsia="ja-JP"/>
        </w:rPr>
        <w:t>*</w:t>
      </w:r>
      <w:r w:rsidRPr="00996139">
        <w:rPr>
          <w:rFonts w:ascii="Arial" w:eastAsia="MS Mincho" w:hAnsi="Arial" w:cs="Arial"/>
          <w:lang w:eastAsia="ja-JP"/>
        </w:rPr>
        <w:t xml:space="preserve">   </w:t>
      </w:r>
    </w:p>
    <w:p w:rsidR="00996139" w:rsidRPr="00996139" w:rsidRDefault="00996139" w:rsidP="00996139">
      <w:pPr>
        <w:spacing w:after="0" w:line="240" w:lineRule="auto"/>
        <w:ind w:left="1080"/>
        <w:rPr>
          <w:rFonts w:ascii="Arial" w:eastAsia="MS Mincho" w:hAnsi="Arial" w:cs="Arial"/>
          <w:lang w:eastAsia="ja-JP"/>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351"/>
        <w:gridCol w:w="1667"/>
        <w:gridCol w:w="1668"/>
        <w:gridCol w:w="1668"/>
      </w:tblGrid>
      <w:tr w:rsidR="00996139" w:rsidRPr="00996139" w:rsidTr="002223C9">
        <w:trPr>
          <w:cantSplit/>
          <w:trHeight w:val="665"/>
          <w:tblHeader/>
          <w:jc w:val="center"/>
        </w:trPr>
        <w:tc>
          <w:tcPr>
            <w:tcW w:w="4351" w:type="dxa"/>
            <w:tcBorders>
              <w:top w:val="single" w:sz="4" w:space="0" w:color="auto"/>
              <w:left w:val="nil"/>
              <w:bottom w:val="single" w:sz="4" w:space="0" w:color="auto"/>
              <w:right w:val="nil"/>
            </w:tcBorders>
            <w:shd w:val="clear" w:color="auto" w:fill="FFFFFF"/>
          </w:tcPr>
          <w:p w:rsidR="00996139" w:rsidRPr="00996139" w:rsidRDefault="00996139" w:rsidP="00996139">
            <w:pPr>
              <w:suppressLineNumbers/>
              <w:suppressAutoHyphens/>
              <w:spacing w:after="40" w:line="240" w:lineRule="auto"/>
              <w:rPr>
                <w:rFonts w:ascii="Arial" w:eastAsia="Times New Roman" w:hAnsi="Arial" w:cs="Arial"/>
              </w:rPr>
            </w:pPr>
            <w:r w:rsidRPr="00996139">
              <w:rPr>
                <w:rFonts w:ascii="Arial" w:eastAsia="Times New Roman" w:hAnsi="Arial" w:cs="Arial"/>
              </w:rPr>
              <w:t>Variable/Statistic</w:t>
            </w:r>
          </w:p>
        </w:tc>
        <w:tc>
          <w:tcPr>
            <w:tcW w:w="1667" w:type="dxa"/>
            <w:tcBorders>
              <w:top w:val="single" w:sz="4" w:space="0" w:color="auto"/>
              <w:left w:val="nil"/>
              <w:bottom w:val="single" w:sz="4" w:space="0" w:color="auto"/>
              <w:right w:val="nil"/>
            </w:tcBorders>
            <w:shd w:val="clear" w:color="auto" w:fill="FFFFFF"/>
          </w:tcPr>
          <w:p w:rsidR="00996139" w:rsidRPr="00996139" w:rsidRDefault="00996139" w:rsidP="00996139">
            <w:pPr>
              <w:suppressLineNumbers/>
              <w:suppressAutoHyphens/>
              <w:spacing w:after="40" w:line="240" w:lineRule="auto"/>
              <w:jc w:val="center"/>
              <w:rPr>
                <w:rFonts w:ascii="Arial" w:eastAsia="Times New Roman" w:hAnsi="Arial" w:cs="Arial"/>
              </w:rPr>
            </w:pPr>
            <w:r w:rsidRPr="00996139">
              <w:rPr>
                <w:rFonts w:ascii="Arial" w:eastAsia="Times New Roman" w:hAnsi="Arial" w:cs="Arial"/>
              </w:rPr>
              <w:t>Placebo</w:t>
            </w:r>
            <w:r w:rsidRPr="00996139">
              <w:rPr>
                <w:rFonts w:ascii="Arial" w:eastAsia="Times New Roman" w:hAnsi="Arial" w:cs="Arial"/>
              </w:rPr>
              <w:br/>
              <w:t>(n = 88)</w:t>
            </w:r>
          </w:p>
        </w:tc>
        <w:tc>
          <w:tcPr>
            <w:tcW w:w="1668" w:type="dxa"/>
            <w:tcBorders>
              <w:top w:val="single" w:sz="4" w:space="0" w:color="auto"/>
              <w:left w:val="nil"/>
              <w:bottom w:val="single" w:sz="4" w:space="0" w:color="auto"/>
              <w:right w:val="nil"/>
            </w:tcBorders>
            <w:shd w:val="clear" w:color="auto" w:fill="FFFFFF"/>
          </w:tcPr>
          <w:p w:rsidR="00996139" w:rsidRPr="00996139" w:rsidRDefault="00996139" w:rsidP="00996139">
            <w:pPr>
              <w:suppressLineNumbers/>
              <w:suppressAutoHyphens/>
              <w:spacing w:after="40" w:line="240" w:lineRule="auto"/>
              <w:jc w:val="center"/>
              <w:rPr>
                <w:rFonts w:ascii="Arial" w:eastAsia="Times New Roman" w:hAnsi="Arial" w:cs="Arial"/>
                <w:lang w:val="pt-BR"/>
              </w:rPr>
            </w:pPr>
            <w:r w:rsidRPr="00996139">
              <w:rPr>
                <w:rFonts w:ascii="Arial" w:eastAsia="Times New Roman" w:hAnsi="Arial" w:cs="Arial"/>
                <w:lang w:val="pt-BR"/>
              </w:rPr>
              <w:t xml:space="preserve">Plerixafor </w:t>
            </w:r>
            <w:r w:rsidRPr="00996139">
              <w:rPr>
                <w:rFonts w:ascii="Arial" w:eastAsia="Times New Roman" w:hAnsi="Arial" w:cs="Arial"/>
                <w:lang w:val="pt-BR"/>
              </w:rPr>
              <w:br/>
              <w:t>(n = 201)</w:t>
            </w:r>
          </w:p>
        </w:tc>
        <w:tc>
          <w:tcPr>
            <w:tcW w:w="1668" w:type="dxa"/>
            <w:tcBorders>
              <w:top w:val="single" w:sz="4" w:space="0" w:color="auto"/>
              <w:left w:val="nil"/>
              <w:bottom w:val="single" w:sz="4" w:space="0" w:color="auto"/>
              <w:right w:val="nil"/>
            </w:tcBorders>
            <w:shd w:val="clear" w:color="auto" w:fill="FFFFFF"/>
          </w:tcPr>
          <w:p w:rsidR="00996139" w:rsidRPr="00996139" w:rsidRDefault="00996139" w:rsidP="00996139">
            <w:pPr>
              <w:suppressLineNumbers/>
              <w:suppressAutoHyphens/>
              <w:spacing w:after="40" w:line="240" w:lineRule="auto"/>
              <w:jc w:val="center"/>
              <w:rPr>
                <w:rFonts w:ascii="Arial" w:eastAsia="Times New Roman" w:hAnsi="Arial" w:cs="Arial"/>
                <w:lang w:val="pt-BR"/>
              </w:rPr>
            </w:pPr>
            <w:r w:rsidRPr="00996139">
              <w:rPr>
                <w:rFonts w:ascii="Arial" w:eastAsia="Times New Roman" w:hAnsi="Arial" w:cs="Arial"/>
                <w:lang w:val="pt-BR"/>
              </w:rPr>
              <w:t>Total</w:t>
            </w:r>
            <w:r w:rsidRPr="00996139">
              <w:rPr>
                <w:rFonts w:ascii="Arial" w:eastAsia="Times New Roman" w:hAnsi="Arial" w:cs="Arial"/>
                <w:lang w:val="pt-BR"/>
              </w:rPr>
              <w:br/>
              <w:t>(n = 289)</w:t>
            </w:r>
          </w:p>
        </w:tc>
      </w:tr>
      <w:tr w:rsidR="00996139" w:rsidRPr="00996139" w:rsidTr="002223C9">
        <w:trPr>
          <w:cantSplit/>
          <w:jc w:val="center"/>
        </w:trPr>
        <w:tc>
          <w:tcPr>
            <w:tcW w:w="4351" w:type="dxa"/>
            <w:tcBorders>
              <w:left w:val="nil"/>
              <w:bottom w:val="nil"/>
              <w:right w:val="nil"/>
            </w:tcBorders>
            <w:shd w:val="clear" w:color="auto" w:fill="FFFFFF"/>
          </w:tcPr>
          <w:p w:rsidR="00996139" w:rsidRPr="00996139" w:rsidRDefault="00996139" w:rsidP="00996139">
            <w:pPr>
              <w:suppressLineNumbers/>
              <w:suppressAutoHyphens/>
              <w:spacing w:after="40" w:line="240" w:lineRule="auto"/>
              <w:rPr>
                <w:rFonts w:ascii="Arial" w:eastAsia="Times New Roman" w:hAnsi="Arial" w:cs="Arial"/>
                <w:lang w:val="pt-BR"/>
              </w:rPr>
            </w:pPr>
            <w:r w:rsidRPr="00996139">
              <w:rPr>
                <w:rFonts w:ascii="Arial" w:eastAsia="Times New Roman" w:hAnsi="Arial" w:cs="Arial"/>
                <w:lang w:val="pt-BR"/>
              </w:rPr>
              <w:t>Sex, n (%)</w:t>
            </w:r>
          </w:p>
        </w:tc>
        <w:tc>
          <w:tcPr>
            <w:tcW w:w="1667" w:type="dxa"/>
            <w:tcBorders>
              <w:left w:val="nil"/>
              <w:bottom w:val="nil"/>
              <w:right w:val="nil"/>
            </w:tcBorders>
            <w:shd w:val="clear" w:color="auto" w:fill="FFFFFF"/>
          </w:tcPr>
          <w:p w:rsidR="00996139" w:rsidRPr="00996139" w:rsidRDefault="00996139" w:rsidP="00996139">
            <w:pPr>
              <w:suppressLineNumbers/>
              <w:suppressAutoHyphens/>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left w:val="nil"/>
              <w:bottom w:val="nil"/>
              <w:right w:val="nil"/>
            </w:tcBorders>
            <w:shd w:val="clear" w:color="auto" w:fill="FFFFFF"/>
          </w:tcPr>
          <w:p w:rsidR="00996139" w:rsidRPr="00996139" w:rsidRDefault="00996139" w:rsidP="00996139">
            <w:pPr>
              <w:suppressLineNumbers/>
              <w:suppressAutoHyphens/>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left w:val="nil"/>
              <w:bottom w:val="nil"/>
              <w:right w:val="nil"/>
            </w:tcBorders>
            <w:shd w:val="clear" w:color="auto" w:fill="FFFFFF"/>
          </w:tcPr>
          <w:p w:rsidR="00996139" w:rsidRPr="00996139" w:rsidRDefault="00996139" w:rsidP="00996139">
            <w:pPr>
              <w:suppressLineNumbers/>
              <w:suppressAutoHyphens/>
              <w:spacing w:after="40" w:line="240" w:lineRule="auto"/>
              <w:jc w:val="center"/>
              <w:rPr>
                <w:rFonts w:ascii="Arial" w:eastAsia="Times New Roman" w:hAnsi="Arial" w:cs="Arial"/>
              </w:rPr>
            </w:pPr>
            <w:r w:rsidRPr="00996139">
              <w:rPr>
                <w:rFonts w:ascii="Arial" w:eastAsia="Times New Roman" w:hAnsi="Arial" w:cs="Arial"/>
              </w:rPr>
              <w:t xml:space="preserve"> </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Male</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61 (69)</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135 (67)</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196 (68)</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Female</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27 (31)</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66 (33)</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93 (32)</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suppressLineNumbers/>
              <w:suppressAutoHyphens/>
              <w:spacing w:after="40" w:line="240" w:lineRule="auto"/>
              <w:rPr>
                <w:rFonts w:ascii="Arial" w:eastAsia="Times New Roman" w:hAnsi="Arial" w:cs="Arial"/>
              </w:rPr>
            </w:pPr>
            <w:r w:rsidRPr="00996139">
              <w:rPr>
                <w:rFonts w:ascii="Arial" w:eastAsia="Times New Roman" w:hAnsi="Arial" w:cs="Arial"/>
              </w:rPr>
              <w:t>Ethnic origin, n (%)</w:t>
            </w:r>
            <w:r w:rsidRPr="00996139">
              <w:rPr>
                <w:rFonts w:ascii="Arial" w:eastAsia="Times New Roman" w:hAnsi="Arial" w:cs="Arial"/>
                <w:vertAlign w:val="superscript"/>
              </w:rPr>
              <w:t>†</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Caucasian</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86 (98)</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182 (91)</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268 (93)</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African American</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7 (3)</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7 (2)</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Asian</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 (1)</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3 (1)</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 (1)</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Hispanic/Latino</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 (4)</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 (3)</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Other</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 (1)</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 (0)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 (1)</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suppressLineNumbers/>
              <w:suppressAutoHyphens/>
              <w:spacing w:after="40" w:line="240" w:lineRule="auto"/>
              <w:rPr>
                <w:rFonts w:ascii="Arial" w:eastAsia="Times New Roman" w:hAnsi="Arial" w:cs="Arial"/>
              </w:rPr>
            </w:pPr>
            <w:r w:rsidRPr="00996139">
              <w:rPr>
                <w:rFonts w:ascii="Arial" w:eastAsia="Times New Roman" w:hAnsi="Arial" w:cs="Arial"/>
              </w:rPr>
              <w:t>Age, y</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Mean (SD)</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57.3 (10.72)</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56.8 (10.55)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57.0 (10.58)</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Median</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58.5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59.0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59.0</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Min, Max</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27, 74</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28, 75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22, 75</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suppressLineNumbers/>
              <w:suppressAutoHyphens/>
              <w:spacing w:after="40" w:line="240" w:lineRule="auto"/>
              <w:rPr>
                <w:rFonts w:ascii="Arial" w:eastAsia="Times New Roman" w:hAnsi="Arial" w:cs="Arial"/>
              </w:rPr>
            </w:pPr>
            <w:r w:rsidRPr="00996139">
              <w:rPr>
                <w:rFonts w:ascii="Arial" w:eastAsia="Times New Roman" w:hAnsi="Arial" w:cs="Arial"/>
              </w:rPr>
              <w:t>Weight, kg</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 xml:space="preserve"> </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Mean (SD)</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88.7 (20.80)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87.5 (19.75)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87.9 (20.04)</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Median</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89.5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85.2</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86.1</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Min, Max</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51.0, 178.0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44.0, 159.6</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44.0, 178.0</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rPr>
                <w:rFonts w:ascii="Arial" w:eastAsia="Times New Roman" w:hAnsi="Arial" w:cs="Arial"/>
              </w:rPr>
            </w:pPr>
            <w:r w:rsidRPr="00996139">
              <w:rPr>
                <w:rFonts w:ascii="Arial" w:eastAsia="Times New Roman" w:hAnsi="Arial" w:cs="Arial"/>
              </w:rPr>
              <w:t>Underwent auto-HSCT after treatment and apheresis, n (%)</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81 (92)</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188 (94)</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269 (93)</w:t>
            </w:r>
          </w:p>
        </w:tc>
      </w:tr>
      <w:tr w:rsidR="00996139" w:rsidRPr="00996139" w:rsidTr="002223C9">
        <w:trPr>
          <w:cantSplit/>
          <w:trHeight w:val="321"/>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rPr>
                <w:rFonts w:ascii="Arial" w:eastAsia="Times New Roman" w:hAnsi="Arial" w:cs="Arial"/>
              </w:rPr>
            </w:pPr>
            <w:r w:rsidRPr="00996139">
              <w:rPr>
                <w:rFonts w:ascii="Arial" w:eastAsia="Times New Roman" w:hAnsi="Arial" w:cs="Arial"/>
                <w:lang w:val="pt-BR"/>
              </w:rPr>
              <w:t>Disease stage at baseline,</w:t>
            </w:r>
            <w:r w:rsidRPr="00996139">
              <w:rPr>
                <w:rFonts w:ascii="Arial" w:eastAsia="Times New Roman" w:hAnsi="Arial" w:cs="Arial"/>
                <w:vertAlign w:val="superscript"/>
              </w:rPr>
              <w:t xml:space="preserve"> †</w:t>
            </w:r>
            <w:r w:rsidRPr="00996139">
              <w:rPr>
                <w:rFonts w:ascii="Arial" w:eastAsia="Times New Roman" w:hAnsi="Arial" w:cs="Arial"/>
                <w:lang w:val="pt-BR"/>
              </w:rPr>
              <w:t xml:space="preserve"> n (%)</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I</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 (5)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8 (4)</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12 (4)</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II</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18 (20)</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24 (12)</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42 (15)</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III</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22 (25)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43 (21)</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65 (22)</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IV</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30 (34)</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90 (45)</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120 (42)</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Missing</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14 (16)</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36 (18)</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50 (17)</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rPr>
                <w:rFonts w:ascii="Arial" w:eastAsia="Times New Roman" w:hAnsi="Arial" w:cs="Arial"/>
              </w:rPr>
            </w:pPr>
            <w:r w:rsidRPr="00996139">
              <w:rPr>
                <w:rFonts w:ascii="Arial" w:eastAsia="Times New Roman" w:hAnsi="Arial" w:cs="Arial"/>
              </w:rPr>
              <w:t>Remission status at baseline,</w:t>
            </w:r>
            <w:r w:rsidRPr="00996139">
              <w:rPr>
                <w:rFonts w:ascii="Arial" w:eastAsia="Times New Roman" w:hAnsi="Arial" w:cs="Arial"/>
                <w:vertAlign w:val="superscript"/>
              </w:rPr>
              <w:t>‡</w:t>
            </w:r>
            <w:r w:rsidRPr="00996139">
              <w:rPr>
                <w:rFonts w:ascii="Arial" w:eastAsia="Times New Roman" w:hAnsi="Arial" w:cs="Arial"/>
              </w:rPr>
              <w:t xml:space="preserve"> n (%)</w:t>
            </w:r>
            <w:r w:rsidRPr="00996139">
              <w:rPr>
                <w:rFonts w:ascii="Arial" w:eastAsia="Times New Roman" w:hAnsi="Arial" w:cs="Arial"/>
                <w:vertAlign w:val="superscript"/>
                <w:lang w:val="pt-BR"/>
              </w:rPr>
              <w:t>*</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First/second CR</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43 (49)</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106 (53)</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149 (52)</w:t>
            </w:r>
          </w:p>
        </w:tc>
      </w:tr>
      <w:tr w:rsidR="00996139" w:rsidRPr="00996139" w:rsidTr="002223C9">
        <w:trPr>
          <w:cantSplit/>
          <w:jc w:val="center"/>
        </w:trPr>
        <w:tc>
          <w:tcPr>
            <w:tcW w:w="4351" w:type="dxa"/>
            <w:tcBorders>
              <w:top w:val="nil"/>
              <w:left w:val="nil"/>
              <w:bottom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Relapse/second PR</w:t>
            </w:r>
          </w:p>
        </w:tc>
        <w:tc>
          <w:tcPr>
            <w:tcW w:w="1667"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43 (49)</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95 (47)</w:t>
            </w:r>
          </w:p>
        </w:tc>
        <w:tc>
          <w:tcPr>
            <w:tcW w:w="1668" w:type="dxa"/>
            <w:tcBorders>
              <w:top w:val="nil"/>
              <w:left w:val="nil"/>
              <w:bottom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138 (48)</w:t>
            </w:r>
          </w:p>
        </w:tc>
      </w:tr>
      <w:tr w:rsidR="00996139" w:rsidRPr="00996139" w:rsidTr="002223C9">
        <w:trPr>
          <w:cantSplit/>
          <w:jc w:val="center"/>
        </w:trPr>
        <w:tc>
          <w:tcPr>
            <w:tcW w:w="4351" w:type="dxa"/>
            <w:tcBorders>
              <w:top w:val="nil"/>
              <w:left w:val="nil"/>
              <w:right w:val="nil"/>
            </w:tcBorders>
            <w:shd w:val="clear" w:color="auto" w:fill="FFFFFF"/>
          </w:tcPr>
          <w:p w:rsidR="00996139" w:rsidRPr="00996139" w:rsidRDefault="00996139" w:rsidP="00996139">
            <w:pPr>
              <w:widowControl w:val="0"/>
              <w:suppressLineNumbers/>
              <w:suppressAutoHyphens/>
              <w:spacing w:after="40" w:line="240" w:lineRule="auto"/>
              <w:ind w:left="144"/>
              <w:rPr>
                <w:rFonts w:ascii="Arial" w:eastAsia="Times New Roman" w:hAnsi="Arial" w:cs="Arial"/>
              </w:rPr>
            </w:pPr>
            <w:r w:rsidRPr="00996139">
              <w:rPr>
                <w:rFonts w:ascii="Arial" w:eastAsia="Times New Roman" w:hAnsi="Arial" w:cs="Arial"/>
              </w:rPr>
              <w:t>Missing</w:t>
            </w:r>
          </w:p>
        </w:tc>
        <w:tc>
          <w:tcPr>
            <w:tcW w:w="1667" w:type="dxa"/>
            <w:tcBorders>
              <w:top w:val="nil"/>
              <w:left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 (2)</w:t>
            </w:r>
          </w:p>
        </w:tc>
        <w:tc>
          <w:tcPr>
            <w:tcW w:w="1668" w:type="dxa"/>
            <w:tcBorders>
              <w:top w:val="nil"/>
              <w:left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0</w:t>
            </w:r>
          </w:p>
        </w:tc>
        <w:tc>
          <w:tcPr>
            <w:tcW w:w="1668" w:type="dxa"/>
            <w:tcBorders>
              <w:top w:val="nil"/>
              <w:left w:val="nil"/>
              <w:right w:val="nil"/>
            </w:tcBorders>
            <w:shd w:val="clear" w:color="auto" w:fill="FFFFFF"/>
          </w:tcPr>
          <w:p w:rsidR="00996139" w:rsidRPr="00996139" w:rsidRDefault="00996139" w:rsidP="00996139">
            <w:pPr>
              <w:keepNext/>
              <w:spacing w:after="40" w:line="240" w:lineRule="auto"/>
              <w:jc w:val="center"/>
              <w:rPr>
                <w:rFonts w:ascii="Arial" w:eastAsia="Times New Roman" w:hAnsi="Arial" w:cs="Arial"/>
              </w:rPr>
            </w:pPr>
            <w:r w:rsidRPr="00996139">
              <w:rPr>
                <w:rFonts w:ascii="Arial" w:eastAsia="Times New Roman" w:hAnsi="Arial" w:cs="Arial"/>
              </w:rPr>
              <w:t>2 (1)</w:t>
            </w:r>
          </w:p>
        </w:tc>
      </w:tr>
    </w:tbl>
    <w:p w:rsidR="00996139" w:rsidRPr="00996139" w:rsidRDefault="00996139" w:rsidP="00996139">
      <w:pPr>
        <w:spacing w:after="0" w:line="480" w:lineRule="auto"/>
        <w:ind w:left="1080"/>
        <w:rPr>
          <w:rFonts w:ascii="Arial" w:eastAsia="MS Mincho" w:hAnsi="Arial" w:cs="Arial"/>
          <w:lang w:eastAsia="ja-JP"/>
        </w:rPr>
      </w:pPr>
    </w:p>
    <w:p w:rsidR="00996139" w:rsidRPr="00996139" w:rsidRDefault="00996139" w:rsidP="00996139">
      <w:pPr>
        <w:spacing w:after="0" w:line="480" w:lineRule="auto"/>
        <w:ind w:left="142"/>
        <w:rPr>
          <w:rFonts w:ascii="Arial" w:eastAsia="MS Mincho" w:hAnsi="Arial" w:cs="Arial"/>
          <w:lang w:eastAsia="ja-JP"/>
        </w:rPr>
      </w:pPr>
      <w:r w:rsidRPr="00996139">
        <w:rPr>
          <w:rFonts w:ascii="Arial" w:eastAsia="MS Mincho" w:hAnsi="Arial" w:cs="Arial"/>
          <w:vertAlign w:val="superscript"/>
          <w:lang w:eastAsia="ja-JP"/>
        </w:rPr>
        <w:t>*</w:t>
      </w:r>
      <w:r w:rsidRPr="00996139">
        <w:rPr>
          <w:rFonts w:ascii="Arial" w:eastAsia="MS Mincho" w:hAnsi="Arial" w:cs="Arial"/>
          <w:lang w:eastAsia="ja-JP"/>
        </w:rPr>
        <w:t>Patients initially randomized to placebo and who subsequently received at least 1 dose of plerixafor in the context of the rescue procedure are counted in the plerixafor arm</w:t>
      </w:r>
    </w:p>
    <w:p w:rsidR="00996139" w:rsidRPr="00996139" w:rsidRDefault="00996139" w:rsidP="00996139">
      <w:pPr>
        <w:spacing w:after="0" w:line="480" w:lineRule="auto"/>
        <w:ind w:left="142"/>
        <w:rPr>
          <w:rFonts w:ascii="Arial" w:eastAsia="MS Mincho" w:hAnsi="Arial" w:cs="Arial"/>
          <w:lang w:eastAsia="ja-JP"/>
        </w:rPr>
      </w:pPr>
      <w:r w:rsidRPr="00996139">
        <w:rPr>
          <w:rFonts w:ascii="Arial" w:eastAsia="MS Mincho" w:hAnsi="Arial" w:cs="Arial"/>
          <w:vertAlign w:val="superscript"/>
          <w:lang w:eastAsia="ja-JP"/>
        </w:rPr>
        <w:t>†</w:t>
      </w:r>
      <w:r w:rsidRPr="00996139">
        <w:rPr>
          <w:rFonts w:ascii="Arial" w:eastAsia="MS Mincho" w:hAnsi="Arial" w:cs="Arial"/>
          <w:lang w:eastAsia="ja-JP"/>
        </w:rPr>
        <w:t>Percentages within the columns may not add up to 100% because of rounding.</w:t>
      </w:r>
    </w:p>
    <w:p w:rsidR="00996139" w:rsidRPr="00996139" w:rsidRDefault="00996139" w:rsidP="00996139">
      <w:pPr>
        <w:spacing w:after="0" w:line="480" w:lineRule="auto"/>
        <w:ind w:left="142"/>
        <w:rPr>
          <w:rFonts w:ascii="Arial" w:eastAsia="MS Mincho" w:hAnsi="Arial" w:cs="Arial"/>
          <w:lang w:eastAsia="ja-JP"/>
        </w:rPr>
      </w:pPr>
      <w:r w:rsidRPr="00996139">
        <w:rPr>
          <w:rFonts w:ascii="Arial" w:eastAsia="MS Mincho" w:hAnsi="Arial" w:cs="Arial"/>
          <w:vertAlign w:val="superscript"/>
          <w:lang w:eastAsia="ja-JP"/>
        </w:rPr>
        <w:t>‡</w:t>
      </w:r>
      <w:r w:rsidRPr="00996139">
        <w:rPr>
          <w:rFonts w:ascii="Arial" w:eastAsia="MS Mincho" w:hAnsi="Arial" w:cs="Arial"/>
          <w:lang w:eastAsia="ja-JP"/>
        </w:rPr>
        <w:t>Baseline represents the point immediately before study drug was administered.</w:t>
      </w:r>
    </w:p>
    <w:p w:rsidR="00996139" w:rsidRPr="00996139" w:rsidRDefault="00996139" w:rsidP="00996139">
      <w:pPr>
        <w:spacing w:after="0" w:line="480" w:lineRule="auto"/>
        <w:ind w:left="142"/>
        <w:rPr>
          <w:rFonts w:ascii="Arial" w:eastAsia="MS Mincho" w:hAnsi="Arial" w:cs="Arial"/>
          <w:lang w:eastAsia="ja-JP"/>
        </w:rPr>
      </w:pPr>
      <w:r w:rsidRPr="00996139">
        <w:rPr>
          <w:rFonts w:ascii="Arial" w:eastAsia="MS Mincho" w:hAnsi="Arial" w:cs="Arial"/>
          <w:lang w:eastAsia="ja-JP"/>
        </w:rPr>
        <w:lastRenderedPageBreak/>
        <w:t>Abbreviations: SD, standard deviation; HSCT, hematopoietic stem cell transplantation CR, complete remission; PR, partial remission.</w:t>
      </w:r>
    </w:p>
    <w:p w:rsidR="00996139" w:rsidRPr="00996139" w:rsidRDefault="00996139" w:rsidP="00996139">
      <w:pPr>
        <w:spacing w:after="0" w:line="480" w:lineRule="auto"/>
        <w:rPr>
          <w:rFonts w:ascii="Arial" w:eastAsia="MS Mincho" w:hAnsi="Arial" w:cs="Arial"/>
          <w:u w:val="single"/>
          <w:lang w:eastAsia="ja-JP"/>
        </w:rPr>
      </w:pPr>
    </w:p>
    <w:p w:rsidR="00996139" w:rsidRPr="00996139" w:rsidRDefault="00996139" w:rsidP="00996139">
      <w:pPr>
        <w:spacing w:after="0" w:line="240" w:lineRule="auto"/>
        <w:rPr>
          <w:rFonts w:ascii="Arial" w:eastAsia="MS Mincho" w:hAnsi="Arial" w:cs="Arial"/>
          <w:u w:val="single"/>
          <w:lang w:eastAsia="ja-JP"/>
        </w:rPr>
      </w:pPr>
      <w:r w:rsidRPr="00996139">
        <w:rPr>
          <w:rFonts w:ascii="Arial" w:eastAsia="MS Mincho" w:hAnsi="Arial" w:cs="Arial"/>
          <w:u w:val="single"/>
          <w:lang w:eastAsia="ja-JP"/>
        </w:rPr>
        <w:t>Table Legend</w:t>
      </w:r>
    </w:p>
    <w:p w:rsidR="00996139" w:rsidRPr="00996139" w:rsidRDefault="00996139" w:rsidP="00996139">
      <w:pPr>
        <w:spacing w:after="0" w:line="240" w:lineRule="auto"/>
        <w:rPr>
          <w:rFonts w:ascii="Arial" w:eastAsia="MS Mincho" w:hAnsi="Arial" w:cs="Arial"/>
          <w:lang w:eastAsia="ja-JP"/>
        </w:rPr>
      </w:pPr>
    </w:p>
    <w:p w:rsidR="00996139" w:rsidRPr="00996139" w:rsidRDefault="00996139" w:rsidP="00996139">
      <w:pPr>
        <w:spacing w:after="0" w:line="480" w:lineRule="auto"/>
        <w:rPr>
          <w:rFonts w:ascii="Arial" w:eastAsia="MS Mincho" w:hAnsi="Arial" w:cs="Arial"/>
          <w:lang w:eastAsia="ja-JP"/>
        </w:rPr>
      </w:pPr>
      <w:r w:rsidRPr="00996139">
        <w:rPr>
          <w:rFonts w:ascii="Arial" w:eastAsia="MS Mincho" w:hAnsi="Arial" w:cs="Arial"/>
          <w:lang w:eastAsia="ja-JP"/>
        </w:rPr>
        <w:t>The demographics and baseline characteristics of the primary non-Hodgkin’s lymphoma (NHL) patient population enrolled in Study 3101 are shown. The demographic data and baseline characteristics of this population are comparable to those of the subset of patients with NHL enrolled in the long-term follow-up study.</w:t>
      </w:r>
    </w:p>
    <w:p w:rsidR="00996139" w:rsidRPr="00996139" w:rsidRDefault="00996139" w:rsidP="00996139">
      <w:pPr>
        <w:spacing w:after="0" w:line="480" w:lineRule="auto"/>
        <w:rPr>
          <w:rFonts w:ascii="Arial" w:eastAsia="MS Mincho" w:hAnsi="Arial" w:cs="Arial"/>
          <w:lang w:eastAsia="ja-JP"/>
        </w:rPr>
      </w:pPr>
    </w:p>
    <w:p w:rsidR="00AA21C2" w:rsidRDefault="00483B57"/>
    <w:sectPr w:rsidR="00AA21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996139"/>
    <w:rsid w:val="00483B57"/>
    <w:rsid w:val="009005E3"/>
    <w:rsid w:val="00901F93"/>
    <w:rsid w:val="00996139"/>
    <w:rsid w:val="00DC1A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Barrie</dc:creator>
  <cp:keywords/>
  <dc:description/>
  <cp:lastModifiedBy>user</cp:lastModifiedBy>
  <cp:revision>2</cp:revision>
  <dcterms:created xsi:type="dcterms:W3CDTF">2018-01-31T07:01:00Z</dcterms:created>
  <dcterms:modified xsi:type="dcterms:W3CDTF">2018-01-31T07:01:00Z</dcterms:modified>
</cp:coreProperties>
</file>