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b/>
          <w:noProof/>
          <w:sz w:val="24"/>
          <w:szCs w:val="24"/>
        </w:rPr>
      </w:pPr>
      <w:bookmarkStart w:id="0" w:name="_GoBack"/>
      <w:bookmarkEnd w:id="0"/>
      <w:r w:rsidRPr="00C50D0E">
        <w:rPr>
          <w:rFonts w:ascii="Arial" w:hAnsi="Arial" w:cs="Arial"/>
          <w:b/>
          <w:noProof/>
          <w:sz w:val="24"/>
          <w:szCs w:val="24"/>
        </w:rPr>
        <w:t>REFERENCES (Supplementary)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Sheerin NS, Kavanagh D, Goodship TH, Johnson S. A national specialized service in England for atypical haemolytic uraemic syndrome-the first year's experience.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QJM. </w:t>
      </w:r>
      <w:r w:rsidRPr="00C50D0E">
        <w:rPr>
          <w:rFonts w:ascii="Arial" w:hAnsi="Arial" w:cs="Arial"/>
          <w:noProof/>
          <w:sz w:val="24"/>
          <w:szCs w:val="24"/>
        </w:rPr>
        <w:t>2016;109(1):27-33.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Kavanagh D, Goodship TH, Richards A. Atypical hemolytic uremic syndrome.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Semin Nephrol. </w:t>
      </w:r>
      <w:r w:rsidRPr="00C50D0E">
        <w:rPr>
          <w:rFonts w:ascii="Arial" w:hAnsi="Arial" w:cs="Arial"/>
          <w:noProof/>
          <w:sz w:val="24"/>
          <w:szCs w:val="24"/>
        </w:rPr>
        <w:t>2013;33(6):508-530.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S3.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Berger BE. The Alternative Pathway of Complement and the Evolving Clinical-Pathophysiological Spectrum of Atypical Hemolytic Uremic Syndrome.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Am J Med Sci. </w:t>
      </w:r>
      <w:r w:rsidRPr="00C50D0E">
        <w:rPr>
          <w:rFonts w:ascii="Arial" w:hAnsi="Arial" w:cs="Arial"/>
          <w:noProof/>
          <w:sz w:val="24"/>
          <w:szCs w:val="24"/>
        </w:rPr>
        <w:t>2016;352(2):177-190.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S4.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Java A, Atkinson J, Salmon J. Defective complement inhibitory function predisposes to renal disease.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Annu Rev Med. </w:t>
      </w:r>
      <w:r w:rsidRPr="00C50D0E">
        <w:rPr>
          <w:rFonts w:ascii="Arial" w:hAnsi="Arial" w:cs="Arial"/>
          <w:noProof/>
          <w:sz w:val="24"/>
          <w:szCs w:val="24"/>
        </w:rPr>
        <w:t>2013;64:307-324.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S5.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Liszewski MK, Java A, Schramm EC, Atkinson JP. Complement Dysregulation and Disease: Insights from Contemporary Genetics.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Annu Rev Pathol. </w:t>
      </w:r>
      <w:r w:rsidRPr="00C50D0E">
        <w:rPr>
          <w:rFonts w:ascii="Arial" w:hAnsi="Arial" w:cs="Arial"/>
          <w:noProof/>
          <w:sz w:val="24"/>
          <w:szCs w:val="24"/>
        </w:rPr>
        <w:t>2017;12:25-52.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 xml:space="preserve">S6. 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Martinez-Barricarte R, Heurich M, Valdes-Canedo F, et al. Human C3 mutation reveals a mechanism of dense deposit disease pathogenesis and provides insights into complement activation and regulation.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J Clin Invest. </w:t>
      </w:r>
      <w:r w:rsidRPr="00C50D0E">
        <w:rPr>
          <w:rFonts w:ascii="Arial" w:hAnsi="Arial" w:cs="Arial"/>
          <w:noProof/>
          <w:sz w:val="24"/>
          <w:szCs w:val="24"/>
        </w:rPr>
        <w:t>2010;120(10):3702-3712.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S7.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Rodriguez de Cordoba S, Hidalgo MS, Pinto S, Tortajada A. Genetics of atypical hemolytic uremic syndrome (aHUS).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Semin Thromb Hemost. </w:t>
      </w:r>
      <w:r w:rsidRPr="00C50D0E">
        <w:rPr>
          <w:rFonts w:ascii="Arial" w:hAnsi="Arial" w:cs="Arial"/>
          <w:noProof/>
          <w:sz w:val="24"/>
          <w:szCs w:val="24"/>
        </w:rPr>
        <w:t>2014;40(4):422-430.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S8.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Abdul Ajees A, Gunasekaran K, Volanakis JE, Narayana SV, Kotwal GJ, Murthy HM. The structure of complement C3b provides insights into complement activation and regulation.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Nature. </w:t>
      </w:r>
      <w:r w:rsidRPr="00C50D0E">
        <w:rPr>
          <w:rFonts w:ascii="Arial" w:hAnsi="Arial" w:cs="Arial"/>
          <w:noProof/>
          <w:sz w:val="24"/>
          <w:szCs w:val="24"/>
        </w:rPr>
        <w:t>2006;444(7116):221-225.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lastRenderedPageBreak/>
        <w:t>S9.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Roumenina LT, Frimat M, Miller EC, et al. A prevalent C3 mutation in aHUS patients causes a direct C3 convertase gain of function.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Blood. </w:t>
      </w:r>
      <w:r w:rsidRPr="00C50D0E">
        <w:rPr>
          <w:rFonts w:ascii="Arial" w:hAnsi="Arial" w:cs="Arial"/>
          <w:noProof/>
          <w:sz w:val="24"/>
          <w:szCs w:val="24"/>
        </w:rPr>
        <w:t>2012;119(18):4182-4191.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S10.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Fremeaux-Bacchi V, Miller EC, Liszewski MK, et al. Mutations in complement C3 predispose to development of atypical hemolytic uremic syndrome.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Blood. </w:t>
      </w:r>
      <w:r w:rsidRPr="00C50D0E">
        <w:rPr>
          <w:rFonts w:ascii="Arial" w:hAnsi="Arial" w:cs="Arial"/>
          <w:noProof/>
          <w:sz w:val="24"/>
          <w:szCs w:val="24"/>
        </w:rPr>
        <w:t>2008;112(13):4948-4952.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S11.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Bresin E, Daina E, Noris M, et al. Outcome of renal transplantation in patients with non-Shiga toxin-associated haemolytic uraemic synbdrome: prognostic significance of genetic background.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Clinical J Am Soc Nephrol. </w:t>
      </w:r>
      <w:r w:rsidRPr="00C50D0E">
        <w:rPr>
          <w:rFonts w:ascii="Arial" w:hAnsi="Arial" w:cs="Arial"/>
          <w:noProof/>
          <w:sz w:val="24"/>
          <w:szCs w:val="24"/>
        </w:rPr>
        <w:t>2006;1:88-99.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S12.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Zuber J, Le Quintrec M, Sberro-Soussan R, Loirat C, Fremeaux-Bacchi V, Legendre C. New insights into postrenal transplant hemolytic uremic syndrome.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Nature reviews Nephrology. </w:t>
      </w:r>
      <w:r w:rsidRPr="00C50D0E">
        <w:rPr>
          <w:rFonts w:ascii="Arial" w:hAnsi="Arial" w:cs="Arial"/>
          <w:noProof/>
          <w:sz w:val="24"/>
          <w:szCs w:val="24"/>
        </w:rPr>
        <w:t>2011;7(1):23-35.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S13.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Noris M, Remuzzi G. Thrombotic microangiopathy after kidney transplantation.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Am J Transpl. </w:t>
      </w:r>
      <w:r w:rsidRPr="00C50D0E">
        <w:rPr>
          <w:rFonts w:ascii="Arial" w:hAnsi="Arial" w:cs="Arial"/>
          <w:noProof/>
          <w:sz w:val="24"/>
          <w:szCs w:val="24"/>
        </w:rPr>
        <w:t>2010;10(7):1517-1523.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S14.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Noris M, Caprioli J, Bresin E, et al. Relative role of genetic complement abnormalities in sporadic and familial aHUS and their impact on clinical phenotype.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Clinical J Am Soc Nephrol.  </w:t>
      </w:r>
      <w:r w:rsidRPr="00C50D0E">
        <w:rPr>
          <w:rFonts w:ascii="Arial" w:hAnsi="Arial" w:cs="Arial"/>
          <w:noProof/>
          <w:sz w:val="24"/>
          <w:szCs w:val="24"/>
        </w:rPr>
        <w:t>2010;5(10):1844-1859.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S15.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Reynolds JC, Agodoa LY, Yuan CM, Abbott KC. Thrombotic microangiopathy after renal transplantation in the United States.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Am J Kidney Dis. </w:t>
      </w:r>
      <w:r w:rsidRPr="00C50D0E">
        <w:rPr>
          <w:rFonts w:ascii="Arial" w:hAnsi="Arial" w:cs="Arial"/>
          <w:noProof/>
          <w:sz w:val="24"/>
          <w:szCs w:val="24"/>
        </w:rPr>
        <w:t>2003;42(5):1058-1068.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S16.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Nilsson SC, Nita I, Mansson L, et al. Analysis of binding sites on complement factor I that are required for its activity.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J Biol Chem. </w:t>
      </w:r>
      <w:r w:rsidRPr="00C50D0E">
        <w:rPr>
          <w:rFonts w:ascii="Arial" w:hAnsi="Arial" w:cs="Arial"/>
          <w:noProof/>
          <w:sz w:val="24"/>
          <w:szCs w:val="24"/>
        </w:rPr>
        <w:t>2010;285(9):6235-6245.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lastRenderedPageBreak/>
        <w:t>S17.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Sanchez-Gallego JI, Groeneveld TW, Krentz S, Nilsson SC, Villoutreix BO, Blom AM. Analysis of binding sites on complement factor I using artificial N-linked glycosylation.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J Biol Chem. </w:t>
      </w:r>
      <w:r w:rsidRPr="00C50D0E">
        <w:rPr>
          <w:rFonts w:ascii="Arial" w:hAnsi="Arial" w:cs="Arial"/>
          <w:noProof/>
          <w:sz w:val="24"/>
          <w:szCs w:val="24"/>
        </w:rPr>
        <w:t>2012;287(17):13572-13583.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 xml:space="preserve">S18. 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Tsiftsoglou SA, Sim RB. Human complement factor I does not require cofactors for cleavage of synthetic substrates.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J Immunol. </w:t>
      </w:r>
      <w:r w:rsidRPr="00C50D0E">
        <w:rPr>
          <w:rFonts w:ascii="Arial" w:hAnsi="Arial" w:cs="Arial"/>
          <w:noProof/>
          <w:sz w:val="24"/>
          <w:szCs w:val="24"/>
        </w:rPr>
        <w:t>2004;173(1):367-375.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S19.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Legendre CM, Licht C, Muus P, et al. Terminal complement inhibitor eculizumab in atypical hemolytic-uremic syndrome.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N Engl J Med. </w:t>
      </w:r>
      <w:r w:rsidRPr="00C50D0E">
        <w:rPr>
          <w:rFonts w:ascii="Arial" w:hAnsi="Arial" w:cs="Arial"/>
          <w:noProof/>
          <w:sz w:val="24"/>
          <w:szCs w:val="24"/>
        </w:rPr>
        <w:t>2013;368(23):2169-2181.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S20.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Licht C, Greenbaum LA, Muus P, et al. Efficacy and safety of eculizumab in atypical hemolytic uremic syndrome from 2-year extensions of phase 2 studies.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Kidney Int. </w:t>
      </w:r>
      <w:r w:rsidRPr="00C50D0E">
        <w:rPr>
          <w:rFonts w:ascii="Arial" w:hAnsi="Arial" w:cs="Arial"/>
          <w:noProof/>
          <w:sz w:val="24"/>
          <w:szCs w:val="24"/>
        </w:rPr>
        <w:t>2015;87(5):1061-1073.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S21.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Zuber J, Le Quintrec M, Krid S, et al. Eculizumab for Atypical Hemolytic Uremic Syndrome Recurrence in Renal Transplantation.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Am J Transpl. </w:t>
      </w:r>
      <w:r w:rsidRPr="00C50D0E">
        <w:rPr>
          <w:rFonts w:ascii="Arial" w:hAnsi="Arial" w:cs="Arial"/>
          <w:noProof/>
          <w:sz w:val="24"/>
          <w:szCs w:val="24"/>
        </w:rPr>
        <w:t>2012;12(12):3337-3354.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 xml:space="preserve">S22. 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Seddon JM, Yu Y, Miller EC, et al. Rare variants in CFI, C3 and C9 are associated with high risk of advanced age-related macular degeneration.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Nat Genet. </w:t>
      </w:r>
      <w:r w:rsidRPr="00C50D0E">
        <w:rPr>
          <w:rFonts w:ascii="Arial" w:hAnsi="Arial" w:cs="Arial"/>
          <w:noProof/>
          <w:sz w:val="24"/>
          <w:szCs w:val="24"/>
        </w:rPr>
        <w:t>2013;45(11):1366-1370.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S23.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Xue X, Wu J, Ricklin D, et al. Regulator-dependent mechanisms of C3b processing by factor I allow differentiation of immune responses.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Nat Struct Mol Biol. </w:t>
      </w:r>
      <w:r w:rsidRPr="00C50D0E">
        <w:rPr>
          <w:rFonts w:ascii="Arial" w:hAnsi="Arial" w:cs="Arial"/>
          <w:noProof/>
          <w:sz w:val="24"/>
          <w:szCs w:val="24"/>
        </w:rPr>
        <w:t>2017;24(8):643-651.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S24.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Heyda J, Mason PE, Jungwirth P. Attractive interactions between side chains of histidine-histidine and histidine-arginine-based cationic dipeptides in water.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J Phys Chem B. </w:t>
      </w:r>
      <w:r w:rsidRPr="00C50D0E">
        <w:rPr>
          <w:rFonts w:ascii="Arial" w:hAnsi="Arial" w:cs="Arial"/>
          <w:noProof/>
          <w:sz w:val="24"/>
          <w:szCs w:val="24"/>
        </w:rPr>
        <w:t>2010;114(26):8744-8749.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lastRenderedPageBreak/>
        <w:t>S25.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Collard CD, Bukusoglu C, Agah A, et al. Hypoxia-induced expression of complement receptor type 1 (CR1, CD35) in human vascular endothelial cells.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Am J Physiol. </w:t>
      </w:r>
      <w:r w:rsidRPr="00C50D0E">
        <w:rPr>
          <w:rFonts w:ascii="Arial" w:hAnsi="Arial" w:cs="Arial"/>
          <w:noProof/>
          <w:sz w:val="24"/>
          <w:szCs w:val="24"/>
        </w:rPr>
        <w:t>1999;276(2 Pt 1):C450-458.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S26.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Brocklebank V, Wood KM, Kavanagh D. Thrombotic Microangiopathy and the Kidney.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Clinical J Am Soc Nephrol.  </w:t>
      </w:r>
      <w:r w:rsidRPr="00C50D0E">
        <w:rPr>
          <w:rFonts w:ascii="Arial" w:hAnsi="Arial" w:cs="Arial"/>
          <w:noProof/>
          <w:sz w:val="24"/>
          <w:szCs w:val="24"/>
        </w:rPr>
        <w:t>2018;13(2):300-317.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S27.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Salmon JE, Heuser C, Triebwasser M, et al. Mutations in complement regulatory proteins predispose to preeclampsia: a genetic analysis of the PROMISSE cohort.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PLoS Med. </w:t>
      </w:r>
      <w:r w:rsidRPr="00C50D0E">
        <w:rPr>
          <w:rFonts w:ascii="Arial" w:hAnsi="Arial" w:cs="Arial"/>
          <w:noProof/>
          <w:sz w:val="24"/>
          <w:szCs w:val="24"/>
        </w:rPr>
        <w:t>2011;8(3):e1001013.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 xml:space="preserve">S28. Hoffman-Andrews L. The known unknown: the challenges of genetic variants of uncertain significance in clinical practice.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J Law Biosci. </w:t>
      </w:r>
      <w:r w:rsidRPr="00C50D0E">
        <w:rPr>
          <w:rFonts w:ascii="Arial" w:hAnsi="Arial" w:cs="Arial"/>
          <w:noProof/>
          <w:sz w:val="24"/>
          <w:szCs w:val="24"/>
        </w:rPr>
        <w:t>2017;4(3):648-657.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  <w:r w:rsidRPr="00C50D0E">
        <w:rPr>
          <w:rFonts w:ascii="Arial" w:hAnsi="Arial" w:cs="Arial"/>
          <w:noProof/>
          <w:sz w:val="24"/>
          <w:szCs w:val="24"/>
        </w:rPr>
        <w:t>S29.</w:t>
      </w:r>
      <w:r w:rsidRPr="00C50D0E">
        <w:rPr>
          <w:rFonts w:ascii="Arial" w:hAnsi="Arial" w:cs="Arial"/>
          <w:noProof/>
          <w:sz w:val="24"/>
          <w:szCs w:val="24"/>
        </w:rPr>
        <w:tab/>
        <w:t xml:space="preserve">Siner JI, Samelson-Jones BJ, Crudele JM, et al. Circumventing furin enhances factor VIII biological activity and ameliorates bleeding phenotypes in hemophilia models. </w:t>
      </w:r>
      <w:r w:rsidRPr="00C50D0E">
        <w:rPr>
          <w:rFonts w:ascii="Arial" w:hAnsi="Arial" w:cs="Arial"/>
          <w:i/>
          <w:noProof/>
          <w:sz w:val="24"/>
          <w:szCs w:val="24"/>
        </w:rPr>
        <w:t xml:space="preserve">JCI Insight. </w:t>
      </w:r>
      <w:r w:rsidRPr="00C50D0E">
        <w:rPr>
          <w:rFonts w:ascii="Arial" w:hAnsi="Arial" w:cs="Arial"/>
          <w:noProof/>
          <w:sz w:val="24"/>
          <w:szCs w:val="24"/>
        </w:rPr>
        <w:t>2016;1(16):e89371.</w:t>
      </w: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</w:p>
    <w:p w:rsidR="00C50D0E" w:rsidRPr="00C50D0E" w:rsidRDefault="00C50D0E" w:rsidP="00C50D0E">
      <w:pPr>
        <w:spacing w:after="0" w:line="480" w:lineRule="auto"/>
        <w:ind w:left="720" w:hanging="720"/>
        <w:rPr>
          <w:rFonts w:ascii="Arial" w:hAnsi="Arial" w:cs="Arial"/>
          <w:noProof/>
          <w:sz w:val="24"/>
          <w:szCs w:val="24"/>
        </w:rPr>
      </w:pPr>
    </w:p>
    <w:p w:rsidR="00C50D0E" w:rsidRPr="00C50D0E" w:rsidRDefault="00C50D0E" w:rsidP="00C50D0E">
      <w:pPr>
        <w:jc w:val="left"/>
        <w:rPr>
          <w:rFonts w:eastAsiaTheme="minorHAnsi"/>
          <w:sz w:val="22"/>
          <w:szCs w:val="22"/>
        </w:rPr>
      </w:pPr>
    </w:p>
    <w:p w:rsidR="00DD2C9D" w:rsidRPr="0012650F" w:rsidRDefault="00DD2C9D" w:rsidP="0012650F"/>
    <w:sectPr w:rsidR="00DD2C9D" w:rsidRPr="001265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E2E" w:rsidRDefault="00990E2E" w:rsidP="00620534">
      <w:pPr>
        <w:spacing w:after="0" w:line="240" w:lineRule="auto"/>
      </w:pPr>
      <w:r>
        <w:separator/>
      </w:r>
    </w:p>
  </w:endnote>
  <w:endnote w:type="continuationSeparator" w:id="0">
    <w:p w:rsidR="00990E2E" w:rsidRDefault="00990E2E" w:rsidP="00620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534" w:rsidRDefault="006205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35519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0534" w:rsidRDefault="006205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D0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20534" w:rsidRDefault="006205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534" w:rsidRDefault="006205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E2E" w:rsidRDefault="00990E2E" w:rsidP="00620534">
      <w:pPr>
        <w:spacing w:after="0" w:line="240" w:lineRule="auto"/>
      </w:pPr>
      <w:r>
        <w:separator/>
      </w:r>
    </w:p>
  </w:footnote>
  <w:footnote w:type="continuationSeparator" w:id="0">
    <w:p w:rsidR="00990E2E" w:rsidRDefault="00990E2E" w:rsidP="00620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534" w:rsidRDefault="006205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534" w:rsidRDefault="006205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534" w:rsidRDefault="006205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161"/>
    <w:rsid w:val="000D581C"/>
    <w:rsid w:val="0012650F"/>
    <w:rsid w:val="001A1244"/>
    <w:rsid w:val="002A153D"/>
    <w:rsid w:val="00393CB5"/>
    <w:rsid w:val="003C3A66"/>
    <w:rsid w:val="00620534"/>
    <w:rsid w:val="006B32BE"/>
    <w:rsid w:val="006D7FA5"/>
    <w:rsid w:val="00717024"/>
    <w:rsid w:val="00782924"/>
    <w:rsid w:val="00804713"/>
    <w:rsid w:val="00990E2E"/>
    <w:rsid w:val="00B5031A"/>
    <w:rsid w:val="00C50D0E"/>
    <w:rsid w:val="00C67B15"/>
    <w:rsid w:val="00DD2C9D"/>
    <w:rsid w:val="00E46C51"/>
    <w:rsid w:val="00E80161"/>
    <w:rsid w:val="00FB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FAB6B4-9C99-4A78-A7DE-095BE827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0161"/>
    <w:pPr>
      <w:jc w:val="both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016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0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34"/>
    <w:rPr>
      <w:rFonts w:eastAsiaTheme="minorEastAs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20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34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CB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Java, Anuja</dc:creator>
  <cp:keywords/>
  <dc:description/>
  <cp:lastModifiedBy>Vairam, Pusha (ELS-CON)</cp:lastModifiedBy>
  <cp:revision>9</cp:revision>
  <cp:lastPrinted>2019-03-09T21:51:00Z</cp:lastPrinted>
  <dcterms:created xsi:type="dcterms:W3CDTF">2019-03-07T23:32:00Z</dcterms:created>
  <dcterms:modified xsi:type="dcterms:W3CDTF">2019-04-03T07:02:00Z</dcterms:modified>
</cp:coreProperties>
</file>