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7C189" w14:textId="14464D6F" w:rsidR="008338EE" w:rsidRDefault="008338EE" w:rsidP="008338EE">
      <w:pPr>
        <w:outlineLvl w:val="0"/>
        <w:rPr>
          <w:rFonts w:ascii="Arial" w:eastAsia="Times New Roman" w:hAnsi="Arial" w:cs="Arial"/>
          <w:color w:val="000000"/>
          <w:sz w:val="22"/>
        </w:rPr>
      </w:pPr>
      <w:r w:rsidRPr="008338EE">
        <w:rPr>
          <w:rFonts w:ascii="Arial" w:hAnsi="Arial" w:cs="Arial"/>
          <w:sz w:val="22"/>
        </w:rPr>
        <w:t xml:space="preserve">Supplementary Table 2. </w:t>
      </w:r>
    </w:p>
    <w:p w14:paraId="68154535" w14:textId="77777777" w:rsidR="00070F35" w:rsidRPr="008338EE" w:rsidRDefault="00070F35" w:rsidP="008338EE">
      <w:pPr>
        <w:outlineLvl w:val="0"/>
        <w:rPr>
          <w:rFonts w:ascii="Arial" w:hAnsi="Arial" w:cs="Arial"/>
          <w:sz w:val="22"/>
        </w:rPr>
      </w:pPr>
    </w:p>
    <w:tbl>
      <w:tblPr>
        <w:tblStyle w:val="TableGrid"/>
        <w:tblW w:w="0" w:type="auto"/>
        <w:tblLook w:val="04A0" w:firstRow="1" w:lastRow="0" w:firstColumn="1" w:lastColumn="0" w:noHBand="0" w:noVBand="1"/>
      </w:tblPr>
      <w:tblGrid>
        <w:gridCol w:w="1319"/>
        <w:gridCol w:w="1319"/>
        <w:gridCol w:w="1320"/>
        <w:gridCol w:w="1320"/>
        <w:gridCol w:w="1320"/>
        <w:gridCol w:w="1320"/>
        <w:gridCol w:w="1320"/>
      </w:tblGrid>
      <w:tr w:rsidR="008338EE" w:rsidRPr="00EC2118" w14:paraId="660A4D19" w14:textId="77777777" w:rsidTr="0038624C">
        <w:trPr>
          <w:trHeight w:val="249"/>
        </w:trPr>
        <w:tc>
          <w:tcPr>
            <w:tcW w:w="1319" w:type="dxa"/>
            <w:vAlign w:val="bottom"/>
          </w:tcPr>
          <w:p w14:paraId="32D87877" w14:textId="77777777" w:rsidR="008338EE" w:rsidRPr="00EC2118" w:rsidRDefault="008338EE" w:rsidP="0038624C">
            <w:pPr>
              <w:rPr>
                <w:rFonts w:ascii="Arial" w:hAnsi="Arial" w:cs="Arial"/>
                <w:sz w:val="20"/>
                <w:szCs w:val="20"/>
              </w:rPr>
            </w:pPr>
          </w:p>
        </w:tc>
        <w:tc>
          <w:tcPr>
            <w:tcW w:w="3959" w:type="dxa"/>
            <w:gridSpan w:val="3"/>
            <w:vAlign w:val="bottom"/>
          </w:tcPr>
          <w:p w14:paraId="359242F3" w14:textId="77777777" w:rsidR="008338EE" w:rsidRDefault="008338EE" w:rsidP="0038624C">
            <w:pPr>
              <w:jc w:val="center"/>
              <w:rPr>
                <w:rFonts w:ascii="Arial" w:hAnsi="Arial" w:cs="Arial"/>
                <w:sz w:val="20"/>
                <w:szCs w:val="20"/>
              </w:rPr>
            </w:pPr>
            <w:r w:rsidRPr="00EC2118">
              <w:rPr>
                <w:rFonts w:ascii="Arial" w:hAnsi="Arial" w:cs="Arial"/>
                <w:sz w:val="20"/>
                <w:szCs w:val="20"/>
              </w:rPr>
              <w:t xml:space="preserve">Cannabis use </w:t>
            </w:r>
            <w:r>
              <w:rPr>
                <w:rFonts w:ascii="Arial" w:hAnsi="Arial" w:cs="Arial"/>
                <w:sz w:val="20"/>
                <w:szCs w:val="20"/>
              </w:rPr>
              <w:t xml:space="preserve">ever </w:t>
            </w:r>
          </w:p>
          <w:p w14:paraId="471F3653" w14:textId="77777777" w:rsidR="008338EE" w:rsidRPr="00EC2118" w:rsidRDefault="008338EE" w:rsidP="0038624C">
            <w:pPr>
              <w:jc w:val="center"/>
              <w:rPr>
                <w:rFonts w:ascii="Arial" w:hAnsi="Arial" w:cs="Arial"/>
                <w:sz w:val="20"/>
                <w:szCs w:val="20"/>
              </w:rPr>
            </w:pPr>
            <w:r w:rsidRPr="00EC2118">
              <w:rPr>
                <w:rFonts w:ascii="Arial" w:hAnsi="Arial" w:cs="Arial"/>
                <w:sz w:val="20"/>
                <w:szCs w:val="20"/>
              </w:rPr>
              <w:t>(</w:t>
            </w:r>
            <w:r>
              <w:rPr>
                <w:rFonts w:ascii="Arial" w:hAnsi="Arial" w:cs="Arial"/>
                <w:sz w:val="20"/>
                <w:szCs w:val="20"/>
              </w:rPr>
              <w:t>lifetime</w:t>
            </w:r>
            <w:r w:rsidRPr="00EC2118">
              <w:rPr>
                <w:rFonts w:ascii="Arial" w:hAnsi="Arial" w:cs="Arial"/>
                <w:sz w:val="20"/>
                <w:szCs w:val="20"/>
              </w:rPr>
              <w:t>)</w:t>
            </w:r>
          </w:p>
        </w:tc>
        <w:tc>
          <w:tcPr>
            <w:tcW w:w="3960" w:type="dxa"/>
            <w:gridSpan w:val="3"/>
            <w:vAlign w:val="bottom"/>
          </w:tcPr>
          <w:p w14:paraId="1373E406" w14:textId="77777777" w:rsidR="008338EE" w:rsidRDefault="008338EE" w:rsidP="0038624C">
            <w:pPr>
              <w:jc w:val="center"/>
              <w:rPr>
                <w:rFonts w:ascii="Arial" w:hAnsi="Arial" w:cs="Arial"/>
                <w:sz w:val="20"/>
                <w:szCs w:val="20"/>
              </w:rPr>
            </w:pPr>
            <w:r>
              <w:rPr>
                <w:rFonts w:ascii="Arial" w:hAnsi="Arial" w:cs="Arial"/>
                <w:sz w:val="20"/>
                <w:szCs w:val="20"/>
              </w:rPr>
              <w:t>DSM-5 Cannabis Use Disorder</w:t>
            </w:r>
          </w:p>
          <w:p w14:paraId="5FFF73CC" w14:textId="77777777" w:rsidR="008338EE" w:rsidRPr="00EC2118" w:rsidRDefault="008338EE" w:rsidP="0038624C">
            <w:pPr>
              <w:jc w:val="center"/>
              <w:rPr>
                <w:rFonts w:ascii="Arial" w:hAnsi="Arial" w:cs="Arial"/>
                <w:sz w:val="20"/>
                <w:szCs w:val="20"/>
              </w:rPr>
            </w:pPr>
            <w:r>
              <w:rPr>
                <w:rFonts w:ascii="Arial" w:hAnsi="Arial" w:cs="Arial"/>
                <w:sz w:val="20"/>
                <w:szCs w:val="20"/>
              </w:rPr>
              <w:t>Symptom</w:t>
            </w:r>
            <w:r w:rsidRPr="00EC2118">
              <w:rPr>
                <w:rFonts w:ascii="Arial" w:hAnsi="Arial" w:cs="Arial"/>
                <w:sz w:val="20"/>
                <w:szCs w:val="20"/>
              </w:rPr>
              <w:t xml:space="preserve"> Count</w:t>
            </w:r>
          </w:p>
        </w:tc>
      </w:tr>
      <w:tr w:rsidR="008338EE" w:rsidRPr="00EC2118" w14:paraId="0F921EB2" w14:textId="77777777" w:rsidTr="0038624C">
        <w:trPr>
          <w:trHeight w:val="77"/>
        </w:trPr>
        <w:tc>
          <w:tcPr>
            <w:tcW w:w="1319" w:type="dxa"/>
            <w:vAlign w:val="bottom"/>
          </w:tcPr>
          <w:p w14:paraId="343C98D1" w14:textId="77777777" w:rsidR="008338EE" w:rsidRPr="00EC2118" w:rsidRDefault="008338EE" w:rsidP="0038624C">
            <w:pPr>
              <w:rPr>
                <w:rFonts w:ascii="Arial" w:hAnsi="Arial" w:cs="Arial"/>
                <w:sz w:val="36"/>
              </w:rPr>
            </w:pPr>
            <w:r>
              <w:rPr>
                <w:rFonts w:ascii="Arial" w:hAnsi="Arial" w:cs="Arial"/>
                <w:sz w:val="20"/>
                <w:szCs w:val="20"/>
              </w:rPr>
              <w:t>Polygenic Risk Score Thresholds (Pasman</w:t>
            </w:r>
            <w:r w:rsidRPr="009A6F61">
              <w:rPr>
                <w:rFonts w:ascii="Arial" w:hAnsi="Arial" w:cs="Arial"/>
                <w:sz w:val="20"/>
                <w:szCs w:val="20"/>
                <w:vertAlign w:val="superscript"/>
              </w:rPr>
              <w:t>8</w:t>
            </w:r>
            <w:r w:rsidRPr="009A6F61">
              <w:rPr>
                <w:rFonts w:ascii="Arial" w:hAnsi="Arial" w:cs="Arial"/>
                <w:sz w:val="20"/>
                <w:szCs w:val="20"/>
              </w:rPr>
              <w:t>)</w:t>
            </w:r>
          </w:p>
        </w:tc>
        <w:tc>
          <w:tcPr>
            <w:tcW w:w="1319" w:type="dxa"/>
            <w:vAlign w:val="bottom"/>
          </w:tcPr>
          <w:p w14:paraId="13BF5083" w14:textId="77777777" w:rsidR="008338EE" w:rsidRPr="00EC2118" w:rsidRDefault="008338EE" w:rsidP="0038624C">
            <w:pPr>
              <w:rPr>
                <w:rFonts w:ascii="Arial" w:hAnsi="Arial" w:cs="Arial"/>
                <w:sz w:val="36"/>
              </w:rPr>
            </w:pPr>
            <w:r w:rsidRPr="00EC2118">
              <w:rPr>
                <w:rFonts w:ascii="Arial" w:hAnsi="Arial" w:cs="Arial"/>
                <w:sz w:val="20"/>
                <w:szCs w:val="20"/>
              </w:rPr>
              <w:t>R</w:t>
            </w:r>
            <w:r w:rsidRPr="00355345">
              <w:rPr>
                <w:rFonts w:ascii="Arial" w:hAnsi="Arial" w:cs="Arial"/>
                <w:sz w:val="20"/>
                <w:szCs w:val="20"/>
                <w:vertAlign w:val="superscript"/>
              </w:rPr>
              <w:t>2</w:t>
            </w:r>
          </w:p>
        </w:tc>
        <w:tc>
          <w:tcPr>
            <w:tcW w:w="1320" w:type="dxa"/>
            <w:vAlign w:val="bottom"/>
          </w:tcPr>
          <w:p w14:paraId="2D80691D" w14:textId="77777777" w:rsidR="008338EE" w:rsidRPr="00EC2118" w:rsidRDefault="008338EE" w:rsidP="0038624C">
            <w:pPr>
              <w:rPr>
                <w:rFonts w:ascii="Arial" w:hAnsi="Arial" w:cs="Arial"/>
                <w:sz w:val="36"/>
              </w:rPr>
            </w:pPr>
            <w:r w:rsidRPr="00EC2118">
              <w:rPr>
                <w:rFonts w:ascii="Arial" w:hAnsi="Arial" w:cs="Arial"/>
                <w:sz w:val="20"/>
                <w:szCs w:val="20"/>
              </w:rPr>
              <w:t>Beta</w:t>
            </w:r>
          </w:p>
        </w:tc>
        <w:tc>
          <w:tcPr>
            <w:tcW w:w="1320" w:type="dxa"/>
            <w:vAlign w:val="bottom"/>
          </w:tcPr>
          <w:p w14:paraId="324D47DD" w14:textId="77777777" w:rsidR="008338EE" w:rsidRPr="00EC2118" w:rsidRDefault="008338EE" w:rsidP="0038624C">
            <w:pPr>
              <w:rPr>
                <w:rFonts w:ascii="Arial" w:hAnsi="Arial" w:cs="Arial"/>
                <w:sz w:val="36"/>
              </w:rPr>
            </w:pPr>
            <w:r w:rsidRPr="00EC2118">
              <w:rPr>
                <w:rFonts w:ascii="Arial" w:hAnsi="Arial" w:cs="Arial"/>
                <w:sz w:val="20"/>
                <w:szCs w:val="20"/>
              </w:rPr>
              <w:t>P-value</w:t>
            </w:r>
          </w:p>
        </w:tc>
        <w:tc>
          <w:tcPr>
            <w:tcW w:w="1320" w:type="dxa"/>
            <w:vAlign w:val="bottom"/>
          </w:tcPr>
          <w:p w14:paraId="59CACA51" w14:textId="77777777" w:rsidR="008338EE" w:rsidRPr="00EC2118" w:rsidRDefault="008338EE" w:rsidP="0038624C">
            <w:pPr>
              <w:rPr>
                <w:rFonts w:ascii="Arial" w:hAnsi="Arial" w:cs="Arial"/>
                <w:sz w:val="36"/>
              </w:rPr>
            </w:pPr>
            <w:r w:rsidRPr="00EC2118">
              <w:rPr>
                <w:rFonts w:ascii="Arial" w:hAnsi="Arial" w:cs="Arial"/>
                <w:sz w:val="20"/>
                <w:szCs w:val="20"/>
              </w:rPr>
              <w:t>R</w:t>
            </w:r>
            <w:r w:rsidRPr="00355345">
              <w:rPr>
                <w:rFonts w:ascii="Arial" w:hAnsi="Arial" w:cs="Arial"/>
                <w:sz w:val="20"/>
                <w:szCs w:val="20"/>
                <w:vertAlign w:val="superscript"/>
              </w:rPr>
              <w:t>2</w:t>
            </w:r>
          </w:p>
        </w:tc>
        <w:tc>
          <w:tcPr>
            <w:tcW w:w="1320" w:type="dxa"/>
            <w:vAlign w:val="bottom"/>
          </w:tcPr>
          <w:p w14:paraId="53C067E1" w14:textId="77777777" w:rsidR="008338EE" w:rsidRPr="00EC2118" w:rsidRDefault="008338EE" w:rsidP="0038624C">
            <w:pPr>
              <w:rPr>
                <w:rFonts w:ascii="Arial" w:hAnsi="Arial" w:cs="Arial"/>
                <w:sz w:val="36"/>
              </w:rPr>
            </w:pPr>
            <w:r w:rsidRPr="00EC2118">
              <w:rPr>
                <w:rFonts w:ascii="Arial" w:hAnsi="Arial" w:cs="Arial"/>
                <w:sz w:val="20"/>
                <w:szCs w:val="20"/>
              </w:rPr>
              <w:t>Beta</w:t>
            </w:r>
          </w:p>
        </w:tc>
        <w:tc>
          <w:tcPr>
            <w:tcW w:w="1320" w:type="dxa"/>
            <w:vAlign w:val="bottom"/>
          </w:tcPr>
          <w:p w14:paraId="175E1681" w14:textId="77777777" w:rsidR="008338EE" w:rsidRPr="00EC2118" w:rsidRDefault="008338EE" w:rsidP="0038624C">
            <w:pPr>
              <w:rPr>
                <w:rFonts w:ascii="Arial" w:hAnsi="Arial" w:cs="Arial"/>
                <w:sz w:val="36"/>
              </w:rPr>
            </w:pPr>
            <w:r w:rsidRPr="00EC2118">
              <w:rPr>
                <w:rFonts w:ascii="Arial" w:hAnsi="Arial" w:cs="Arial"/>
                <w:sz w:val="20"/>
                <w:szCs w:val="20"/>
              </w:rPr>
              <w:t>P-value</w:t>
            </w:r>
          </w:p>
        </w:tc>
      </w:tr>
      <w:tr w:rsidR="008338EE" w:rsidRPr="00EC2118" w14:paraId="2A356B3F" w14:textId="77777777" w:rsidTr="0038624C">
        <w:trPr>
          <w:trHeight w:val="77"/>
        </w:trPr>
        <w:tc>
          <w:tcPr>
            <w:tcW w:w="1319" w:type="dxa"/>
            <w:vAlign w:val="bottom"/>
          </w:tcPr>
          <w:p w14:paraId="73B03F3E" w14:textId="77777777" w:rsidR="008338EE" w:rsidRPr="00EC2118" w:rsidRDefault="008338EE" w:rsidP="0038624C">
            <w:pPr>
              <w:rPr>
                <w:rFonts w:ascii="Arial" w:hAnsi="Arial" w:cs="Arial"/>
                <w:sz w:val="36"/>
              </w:rPr>
            </w:pPr>
            <w:r w:rsidRPr="00EC2118">
              <w:rPr>
                <w:rFonts w:ascii="Arial" w:hAnsi="Arial" w:cs="Arial"/>
                <w:sz w:val="20"/>
                <w:szCs w:val="20"/>
              </w:rPr>
              <w:t>p&lt;0.0001</w:t>
            </w:r>
          </w:p>
        </w:tc>
        <w:tc>
          <w:tcPr>
            <w:tcW w:w="1319" w:type="dxa"/>
            <w:vAlign w:val="bottom"/>
          </w:tcPr>
          <w:p w14:paraId="4B7730A6"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36922559" w14:textId="77777777" w:rsidR="008338EE" w:rsidRPr="00341BA7" w:rsidRDefault="008338EE" w:rsidP="0038624C">
            <w:pPr>
              <w:rPr>
                <w:rFonts w:ascii="Arial" w:hAnsi="Arial" w:cs="Arial"/>
                <w:sz w:val="20"/>
                <w:szCs w:val="20"/>
              </w:rPr>
            </w:pPr>
            <w:r>
              <w:rPr>
                <w:rFonts w:ascii="Arial" w:hAnsi="Arial" w:cs="Arial"/>
                <w:sz w:val="20"/>
                <w:szCs w:val="20"/>
              </w:rPr>
              <w:t>0.014</w:t>
            </w:r>
          </w:p>
        </w:tc>
        <w:tc>
          <w:tcPr>
            <w:tcW w:w="1320" w:type="dxa"/>
            <w:vAlign w:val="bottom"/>
          </w:tcPr>
          <w:p w14:paraId="1FAFA764" w14:textId="77777777" w:rsidR="008338EE" w:rsidRPr="00341BA7" w:rsidRDefault="008338EE" w:rsidP="0038624C">
            <w:pPr>
              <w:rPr>
                <w:rFonts w:ascii="Arial" w:hAnsi="Arial" w:cs="Arial"/>
                <w:sz w:val="20"/>
                <w:szCs w:val="20"/>
              </w:rPr>
            </w:pPr>
            <w:r>
              <w:rPr>
                <w:rFonts w:ascii="Arial" w:hAnsi="Arial" w:cs="Arial"/>
                <w:sz w:val="20"/>
                <w:szCs w:val="20"/>
              </w:rPr>
              <w:t>0.693</w:t>
            </w:r>
          </w:p>
        </w:tc>
        <w:tc>
          <w:tcPr>
            <w:tcW w:w="1320" w:type="dxa"/>
            <w:vAlign w:val="bottom"/>
          </w:tcPr>
          <w:p w14:paraId="30B57BEC" w14:textId="77777777" w:rsidR="008338EE" w:rsidRPr="00EC2118" w:rsidRDefault="008338EE" w:rsidP="0038624C">
            <w:pPr>
              <w:rPr>
                <w:rFonts w:ascii="Arial" w:hAnsi="Arial" w:cs="Arial"/>
                <w:sz w:val="36"/>
              </w:rPr>
            </w:pPr>
            <w:r w:rsidRPr="00EC2118">
              <w:rPr>
                <w:rFonts w:ascii="Arial" w:hAnsi="Arial" w:cs="Arial"/>
                <w:sz w:val="20"/>
                <w:szCs w:val="20"/>
              </w:rPr>
              <w:t>0.001</w:t>
            </w:r>
          </w:p>
        </w:tc>
        <w:tc>
          <w:tcPr>
            <w:tcW w:w="1320" w:type="dxa"/>
            <w:vAlign w:val="bottom"/>
          </w:tcPr>
          <w:p w14:paraId="3D5FE959"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029</w:t>
            </w:r>
          </w:p>
        </w:tc>
        <w:tc>
          <w:tcPr>
            <w:tcW w:w="1320" w:type="dxa"/>
            <w:vAlign w:val="bottom"/>
          </w:tcPr>
          <w:p w14:paraId="2387C24B"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401</w:t>
            </w:r>
          </w:p>
        </w:tc>
      </w:tr>
      <w:tr w:rsidR="008338EE" w:rsidRPr="00EC2118" w14:paraId="378A436F" w14:textId="77777777" w:rsidTr="0038624C">
        <w:trPr>
          <w:trHeight w:val="263"/>
        </w:trPr>
        <w:tc>
          <w:tcPr>
            <w:tcW w:w="1319" w:type="dxa"/>
            <w:vAlign w:val="bottom"/>
          </w:tcPr>
          <w:p w14:paraId="5E602BF9" w14:textId="77777777" w:rsidR="008338EE" w:rsidRPr="00EC2118" w:rsidRDefault="008338EE" w:rsidP="0038624C">
            <w:pPr>
              <w:rPr>
                <w:rFonts w:ascii="Arial" w:hAnsi="Arial" w:cs="Arial"/>
                <w:sz w:val="36"/>
              </w:rPr>
            </w:pPr>
            <w:r w:rsidRPr="00EC2118">
              <w:rPr>
                <w:rFonts w:ascii="Arial" w:hAnsi="Arial" w:cs="Arial"/>
                <w:sz w:val="20"/>
                <w:szCs w:val="20"/>
              </w:rPr>
              <w:t>p&lt;0.001</w:t>
            </w:r>
          </w:p>
        </w:tc>
        <w:tc>
          <w:tcPr>
            <w:tcW w:w="1319" w:type="dxa"/>
            <w:vAlign w:val="bottom"/>
          </w:tcPr>
          <w:p w14:paraId="2A83D25D"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1E2A0AA3" w14:textId="77777777" w:rsidR="008338EE" w:rsidRPr="00341BA7" w:rsidRDefault="008338EE" w:rsidP="0038624C">
            <w:pPr>
              <w:rPr>
                <w:rFonts w:ascii="Arial" w:hAnsi="Arial" w:cs="Arial"/>
                <w:sz w:val="20"/>
                <w:szCs w:val="20"/>
              </w:rPr>
            </w:pPr>
            <w:r>
              <w:rPr>
                <w:rFonts w:ascii="Arial" w:hAnsi="Arial" w:cs="Arial"/>
                <w:sz w:val="20"/>
                <w:szCs w:val="20"/>
              </w:rPr>
              <w:t>0.003</w:t>
            </w:r>
          </w:p>
        </w:tc>
        <w:tc>
          <w:tcPr>
            <w:tcW w:w="1320" w:type="dxa"/>
            <w:vAlign w:val="bottom"/>
          </w:tcPr>
          <w:p w14:paraId="4DE6C251" w14:textId="77777777" w:rsidR="008338EE" w:rsidRPr="00341BA7" w:rsidRDefault="008338EE" w:rsidP="0038624C">
            <w:pPr>
              <w:rPr>
                <w:rFonts w:ascii="Arial" w:hAnsi="Arial" w:cs="Arial"/>
                <w:sz w:val="20"/>
                <w:szCs w:val="20"/>
              </w:rPr>
            </w:pPr>
            <w:r>
              <w:rPr>
                <w:rFonts w:ascii="Arial" w:hAnsi="Arial" w:cs="Arial"/>
                <w:sz w:val="20"/>
                <w:szCs w:val="20"/>
              </w:rPr>
              <w:t>0.933</w:t>
            </w:r>
          </w:p>
        </w:tc>
        <w:tc>
          <w:tcPr>
            <w:tcW w:w="1320" w:type="dxa"/>
            <w:vAlign w:val="bottom"/>
          </w:tcPr>
          <w:p w14:paraId="28B9729F" w14:textId="77777777" w:rsidR="008338EE" w:rsidRPr="00EC2118" w:rsidRDefault="008338EE" w:rsidP="0038624C">
            <w:pPr>
              <w:rPr>
                <w:rFonts w:ascii="Arial" w:hAnsi="Arial" w:cs="Arial"/>
                <w:sz w:val="36"/>
              </w:rPr>
            </w:pPr>
            <w:r w:rsidRPr="00EC2118">
              <w:rPr>
                <w:rFonts w:ascii="Arial" w:hAnsi="Arial" w:cs="Arial"/>
                <w:sz w:val="20"/>
                <w:szCs w:val="20"/>
              </w:rPr>
              <w:t>0.00</w:t>
            </w:r>
            <w:r>
              <w:rPr>
                <w:rFonts w:ascii="Arial" w:hAnsi="Arial" w:cs="Arial"/>
                <w:sz w:val="20"/>
                <w:szCs w:val="20"/>
              </w:rPr>
              <w:t>0</w:t>
            </w:r>
          </w:p>
        </w:tc>
        <w:tc>
          <w:tcPr>
            <w:tcW w:w="1320" w:type="dxa"/>
            <w:vAlign w:val="bottom"/>
          </w:tcPr>
          <w:p w14:paraId="6D6F0564"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011</w:t>
            </w:r>
          </w:p>
        </w:tc>
        <w:tc>
          <w:tcPr>
            <w:tcW w:w="1320" w:type="dxa"/>
            <w:vAlign w:val="bottom"/>
          </w:tcPr>
          <w:p w14:paraId="572EC00B"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746</w:t>
            </w:r>
          </w:p>
        </w:tc>
      </w:tr>
      <w:tr w:rsidR="008338EE" w:rsidRPr="00EC2118" w14:paraId="2EAA904F" w14:textId="77777777" w:rsidTr="0038624C">
        <w:trPr>
          <w:trHeight w:val="249"/>
        </w:trPr>
        <w:tc>
          <w:tcPr>
            <w:tcW w:w="1319" w:type="dxa"/>
            <w:vAlign w:val="bottom"/>
          </w:tcPr>
          <w:p w14:paraId="4E49C035" w14:textId="77777777" w:rsidR="008338EE" w:rsidRPr="00865D21" w:rsidRDefault="008338EE" w:rsidP="0038624C">
            <w:pPr>
              <w:rPr>
                <w:rFonts w:ascii="Arial" w:hAnsi="Arial" w:cs="Arial"/>
                <w:sz w:val="36"/>
              </w:rPr>
            </w:pPr>
            <w:r w:rsidRPr="00865D21">
              <w:rPr>
                <w:rFonts w:ascii="Arial" w:hAnsi="Arial" w:cs="Arial"/>
                <w:sz w:val="20"/>
                <w:szCs w:val="20"/>
              </w:rPr>
              <w:t>p&lt;0.01</w:t>
            </w:r>
          </w:p>
        </w:tc>
        <w:tc>
          <w:tcPr>
            <w:tcW w:w="1319" w:type="dxa"/>
            <w:vAlign w:val="bottom"/>
          </w:tcPr>
          <w:p w14:paraId="7E5F84A5" w14:textId="77777777" w:rsidR="008338EE" w:rsidRPr="00341BA7" w:rsidRDefault="008338EE" w:rsidP="0038624C">
            <w:pPr>
              <w:rPr>
                <w:rFonts w:ascii="Arial" w:hAnsi="Arial" w:cs="Arial"/>
                <w:sz w:val="20"/>
                <w:szCs w:val="20"/>
              </w:rPr>
            </w:pPr>
            <w:r>
              <w:rPr>
                <w:rFonts w:ascii="Arial" w:hAnsi="Arial" w:cs="Arial"/>
                <w:sz w:val="20"/>
                <w:szCs w:val="20"/>
              </w:rPr>
              <w:t>0.001</w:t>
            </w:r>
          </w:p>
        </w:tc>
        <w:tc>
          <w:tcPr>
            <w:tcW w:w="1320" w:type="dxa"/>
            <w:vAlign w:val="bottom"/>
          </w:tcPr>
          <w:p w14:paraId="3170B484" w14:textId="77777777" w:rsidR="008338EE" w:rsidRPr="00341BA7" w:rsidRDefault="008338EE" w:rsidP="0038624C">
            <w:pPr>
              <w:rPr>
                <w:rFonts w:ascii="Arial" w:hAnsi="Arial" w:cs="Arial"/>
                <w:sz w:val="20"/>
                <w:szCs w:val="20"/>
              </w:rPr>
            </w:pPr>
            <w:r>
              <w:rPr>
                <w:rFonts w:ascii="Arial" w:hAnsi="Arial" w:cs="Arial"/>
                <w:sz w:val="20"/>
                <w:szCs w:val="20"/>
              </w:rPr>
              <w:t>0.036</w:t>
            </w:r>
          </w:p>
        </w:tc>
        <w:tc>
          <w:tcPr>
            <w:tcW w:w="1320" w:type="dxa"/>
            <w:vAlign w:val="bottom"/>
          </w:tcPr>
          <w:p w14:paraId="4BC9E81F" w14:textId="77777777" w:rsidR="008338EE" w:rsidRPr="00341BA7" w:rsidRDefault="008338EE" w:rsidP="0038624C">
            <w:pPr>
              <w:rPr>
                <w:rFonts w:ascii="Arial" w:hAnsi="Arial" w:cs="Arial"/>
                <w:sz w:val="20"/>
                <w:szCs w:val="20"/>
              </w:rPr>
            </w:pPr>
            <w:r>
              <w:rPr>
                <w:rFonts w:ascii="Arial" w:hAnsi="Arial" w:cs="Arial"/>
                <w:sz w:val="20"/>
                <w:szCs w:val="20"/>
              </w:rPr>
              <w:t>0.300</w:t>
            </w:r>
          </w:p>
        </w:tc>
        <w:tc>
          <w:tcPr>
            <w:tcW w:w="1320" w:type="dxa"/>
            <w:vAlign w:val="bottom"/>
          </w:tcPr>
          <w:p w14:paraId="1BDAC1A2" w14:textId="77777777" w:rsidR="008338EE" w:rsidRPr="00EC2118" w:rsidRDefault="008338EE" w:rsidP="0038624C">
            <w:pPr>
              <w:rPr>
                <w:rFonts w:ascii="Arial" w:hAnsi="Arial" w:cs="Arial"/>
                <w:b/>
                <w:sz w:val="36"/>
              </w:rPr>
            </w:pPr>
            <w:r w:rsidRPr="00EC2118">
              <w:rPr>
                <w:rFonts w:ascii="Arial" w:hAnsi="Arial" w:cs="Arial"/>
                <w:sz w:val="20"/>
                <w:szCs w:val="20"/>
              </w:rPr>
              <w:t>0.00</w:t>
            </w:r>
            <w:r>
              <w:rPr>
                <w:rFonts w:ascii="Arial" w:hAnsi="Arial" w:cs="Arial"/>
                <w:sz w:val="20"/>
                <w:szCs w:val="20"/>
              </w:rPr>
              <w:t>3</w:t>
            </w:r>
          </w:p>
        </w:tc>
        <w:tc>
          <w:tcPr>
            <w:tcW w:w="1320" w:type="dxa"/>
            <w:vAlign w:val="bottom"/>
          </w:tcPr>
          <w:p w14:paraId="32432B8F" w14:textId="77777777" w:rsidR="008338EE" w:rsidRPr="00EC2118" w:rsidRDefault="008338EE" w:rsidP="0038624C">
            <w:pPr>
              <w:rPr>
                <w:rFonts w:ascii="Arial" w:hAnsi="Arial" w:cs="Arial"/>
                <w:b/>
                <w:sz w:val="36"/>
              </w:rPr>
            </w:pPr>
            <w:r>
              <w:rPr>
                <w:rFonts w:ascii="Arial" w:hAnsi="Arial" w:cs="Arial"/>
                <w:sz w:val="20"/>
                <w:szCs w:val="20"/>
              </w:rPr>
              <w:t>-</w:t>
            </w:r>
            <w:r w:rsidRPr="00EC2118">
              <w:rPr>
                <w:rFonts w:ascii="Arial" w:hAnsi="Arial" w:cs="Arial"/>
                <w:sz w:val="20"/>
                <w:szCs w:val="20"/>
              </w:rPr>
              <w:t>0.</w:t>
            </w:r>
            <w:r>
              <w:rPr>
                <w:rFonts w:ascii="Arial" w:hAnsi="Arial" w:cs="Arial"/>
                <w:sz w:val="20"/>
                <w:szCs w:val="20"/>
              </w:rPr>
              <w:t>058</w:t>
            </w:r>
          </w:p>
        </w:tc>
        <w:tc>
          <w:tcPr>
            <w:tcW w:w="1320" w:type="dxa"/>
            <w:vAlign w:val="bottom"/>
          </w:tcPr>
          <w:p w14:paraId="55EAE045" w14:textId="77777777" w:rsidR="008338EE" w:rsidRPr="00EC2118" w:rsidRDefault="008338EE" w:rsidP="0038624C">
            <w:pPr>
              <w:rPr>
                <w:rFonts w:ascii="Arial" w:hAnsi="Arial" w:cs="Arial"/>
                <w:b/>
                <w:sz w:val="36"/>
              </w:rPr>
            </w:pPr>
            <w:r>
              <w:rPr>
                <w:rFonts w:ascii="Arial" w:hAnsi="Arial" w:cs="Arial"/>
                <w:sz w:val="20"/>
                <w:szCs w:val="20"/>
              </w:rPr>
              <w:t>0.118</w:t>
            </w:r>
          </w:p>
        </w:tc>
      </w:tr>
      <w:tr w:rsidR="008338EE" w:rsidRPr="00EC2118" w14:paraId="43E42B9A" w14:textId="77777777" w:rsidTr="0038624C">
        <w:trPr>
          <w:trHeight w:val="249"/>
        </w:trPr>
        <w:tc>
          <w:tcPr>
            <w:tcW w:w="1319" w:type="dxa"/>
            <w:vAlign w:val="bottom"/>
          </w:tcPr>
          <w:p w14:paraId="606EE6FC" w14:textId="77777777" w:rsidR="008338EE" w:rsidRPr="00865D21" w:rsidRDefault="008338EE" w:rsidP="0038624C">
            <w:pPr>
              <w:rPr>
                <w:rFonts w:ascii="Arial" w:hAnsi="Arial" w:cs="Arial"/>
                <w:sz w:val="36"/>
              </w:rPr>
            </w:pPr>
            <w:r w:rsidRPr="00865D21">
              <w:rPr>
                <w:rFonts w:ascii="Arial" w:hAnsi="Arial" w:cs="Arial"/>
                <w:sz w:val="20"/>
                <w:szCs w:val="20"/>
              </w:rPr>
              <w:t>p&lt;0.1</w:t>
            </w:r>
          </w:p>
        </w:tc>
        <w:tc>
          <w:tcPr>
            <w:tcW w:w="1319" w:type="dxa"/>
            <w:vAlign w:val="bottom"/>
          </w:tcPr>
          <w:p w14:paraId="19A04BE8"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358CCE83" w14:textId="77777777" w:rsidR="008338EE" w:rsidRPr="00341BA7" w:rsidRDefault="008338EE" w:rsidP="0038624C">
            <w:pPr>
              <w:rPr>
                <w:rFonts w:ascii="Arial" w:hAnsi="Arial" w:cs="Arial"/>
                <w:sz w:val="20"/>
                <w:szCs w:val="20"/>
              </w:rPr>
            </w:pPr>
            <w:r>
              <w:rPr>
                <w:rFonts w:ascii="Arial" w:hAnsi="Arial" w:cs="Arial"/>
                <w:sz w:val="20"/>
                <w:szCs w:val="20"/>
              </w:rPr>
              <w:t>0.001</w:t>
            </w:r>
          </w:p>
        </w:tc>
        <w:tc>
          <w:tcPr>
            <w:tcW w:w="1320" w:type="dxa"/>
            <w:vAlign w:val="bottom"/>
          </w:tcPr>
          <w:p w14:paraId="75DB3926" w14:textId="77777777" w:rsidR="008338EE" w:rsidRPr="00341BA7" w:rsidRDefault="008338EE" w:rsidP="0038624C">
            <w:pPr>
              <w:rPr>
                <w:rFonts w:ascii="Arial" w:hAnsi="Arial" w:cs="Arial"/>
                <w:sz w:val="20"/>
                <w:szCs w:val="20"/>
              </w:rPr>
            </w:pPr>
            <w:r>
              <w:rPr>
                <w:rFonts w:ascii="Arial" w:hAnsi="Arial" w:cs="Arial"/>
                <w:sz w:val="20"/>
                <w:szCs w:val="20"/>
              </w:rPr>
              <w:t>0.982</w:t>
            </w:r>
          </w:p>
        </w:tc>
        <w:tc>
          <w:tcPr>
            <w:tcW w:w="1320" w:type="dxa"/>
            <w:vAlign w:val="bottom"/>
          </w:tcPr>
          <w:p w14:paraId="762C6488" w14:textId="77777777" w:rsidR="008338EE" w:rsidRPr="00EC2118" w:rsidRDefault="008338EE" w:rsidP="0038624C">
            <w:pPr>
              <w:rPr>
                <w:rFonts w:ascii="Arial" w:hAnsi="Arial" w:cs="Arial"/>
                <w:b/>
                <w:sz w:val="36"/>
              </w:rPr>
            </w:pPr>
            <w:r w:rsidRPr="00EC2118">
              <w:rPr>
                <w:rFonts w:ascii="Arial" w:hAnsi="Arial" w:cs="Arial"/>
                <w:sz w:val="20"/>
                <w:szCs w:val="20"/>
              </w:rPr>
              <w:t>0.001</w:t>
            </w:r>
          </w:p>
        </w:tc>
        <w:tc>
          <w:tcPr>
            <w:tcW w:w="1320" w:type="dxa"/>
            <w:vAlign w:val="bottom"/>
          </w:tcPr>
          <w:p w14:paraId="2019ADD1" w14:textId="77777777" w:rsidR="008338EE" w:rsidRPr="00EC2118" w:rsidRDefault="008338EE" w:rsidP="0038624C">
            <w:pPr>
              <w:rPr>
                <w:rFonts w:ascii="Arial" w:hAnsi="Arial" w:cs="Arial"/>
                <w:b/>
                <w:sz w:val="36"/>
              </w:rPr>
            </w:pPr>
            <w:r>
              <w:rPr>
                <w:rFonts w:ascii="Arial" w:hAnsi="Arial" w:cs="Arial"/>
                <w:sz w:val="20"/>
                <w:szCs w:val="20"/>
              </w:rPr>
              <w:t>-0.042</w:t>
            </w:r>
          </w:p>
        </w:tc>
        <w:tc>
          <w:tcPr>
            <w:tcW w:w="1320" w:type="dxa"/>
            <w:vAlign w:val="bottom"/>
          </w:tcPr>
          <w:p w14:paraId="142E00DF" w14:textId="77777777" w:rsidR="008338EE" w:rsidRPr="00EC2118" w:rsidRDefault="008338EE" w:rsidP="0038624C">
            <w:pPr>
              <w:rPr>
                <w:rFonts w:ascii="Arial" w:hAnsi="Arial" w:cs="Arial"/>
                <w:b/>
                <w:sz w:val="36"/>
              </w:rPr>
            </w:pPr>
            <w:r w:rsidRPr="00EC2118">
              <w:rPr>
                <w:rFonts w:ascii="Arial" w:hAnsi="Arial" w:cs="Arial"/>
                <w:sz w:val="20"/>
                <w:szCs w:val="20"/>
              </w:rPr>
              <w:t>0.</w:t>
            </w:r>
            <w:r>
              <w:rPr>
                <w:rFonts w:ascii="Arial" w:hAnsi="Arial" w:cs="Arial"/>
                <w:sz w:val="20"/>
                <w:szCs w:val="20"/>
              </w:rPr>
              <w:t>226</w:t>
            </w:r>
          </w:p>
        </w:tc>
      </w:tr>
      <w:tr w:rsidR="008338EE" w:rsidRPr="00EC2118" w14:paraId="7E317FA7" w14:textId="77777777" w:rsidTr="0038624C">
        <w:trPr>
          <w:trHeight w:val="249"/>
        </w:trPr>
        <w:tc>
          <w:tcPr>
            <w:tcW w:w="1319" w:type="dxa"/>
            <w:vAlign w:val="bottom"/>
          </w:tcPr>
          <w:p w14:paraId="23697C74" w14:textId="77777777" w:rsidR="008338EE" w:rsidRPr="00865D21" w:rsidRDefault="008338EE" w:rsidP="0038624C">
            <w:pPr>
              <w:rPr>
                <w:rFonts w:ascii="Arial" w:hAnsi="Arial" w:cs="Arial"/>
                <w:sz w:val="36"/>
              </w:rPr>
            </w:pPr>
            <w:r w:rsidRPr="00865D21">
              <w:rPr>
                <w:rFonts w:ascii="Arial" w:hAnsi="Arial" w:cs="Arial"/>
                <w:bCs/>
                <w:sz w:val="20"/>
                <w:szCs w:val="20"/>
              </w:rPr>
              <w:t>p&lt;0.2</w:t>
            </w:r>
          </w:p>
        </w:tc>
        <w:tc>
          <w:tcPr>
            <w:tcW w:w="1319" w:type="dxa"/>
            <w:vAlign w:val="bottom"/>
          </w:tcPr>
          <w:p w14:paraId="20D828E3"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1FA54F87" w14:textId="77777777" w:rsidR="008338EE" w:rsidRPr="00341BA7" w:rsidRDefault="008338EE" w:rsidP="0038624C">
            <w:pPr>
              <w:rPr>
                <w:rFonts w:ascii="Arial" w:hAnsi="Arial" w:cs="Arial"/>
                <w:sz w:val="20"/>
                <w:szCs w:val="20"/>
              </w:rPr>
            </w:pPr>
            <w:r>
              <w:rPr>
                <w:rFonts w:ascii="Arial" w:hAnsi="Arial" w:cs="Arial"/>
                <w:sz w:val="20"/>
                <w:szCs w:val="20"/>
              </w:rPr>
              <w:t>0.016</w:t>
            </w:r>
          </w:p>
        </w:tc>
        <w:tc>
          <w:tcPr>
            <w:tcW w:w="1320" w:type="dxa"/>
            <w:vAlign w:val="bottom"/>
          </w:tcPr>
          <w:p w14:paraId="23E8B753" w14:textId="77777777" w:rsidR="008338EE" w:rsidRPr="00341BA7" w:rsidRDefault="008338EE" w:rsidP="0038624C">
            <w:pPr>
              <w:rPr>
                <w:rFonts w:ascii="Arial" w:hAnsi="Arial" w:cs="Arial"/>
                <w:sz w:val="20"/>
                <w:szCs w:val="20"/>
              </w:rPr>
            </w:pPr>
            <w:r>
              <w:rPr>
                <w:rFonts w:ascii="Arial" w:hAnsi="Arial" w:cs="Arial"/>
                <w:sz w:val="20"/>
                <w:szCs w:val="20"/>
              </w:rPr>
              <w:t>0.644</w:t>
            </w:r>
          </w:p>
        </w:tc>
        <w:tc>
          <w:tcPr>
            <w:tcW w:w="1320" w:type="dxa"/>
            <w:vAlign w:val="bottom"/>
          </w:tcPr>
          <w:p w14:paraId="31CDB75B" w14:textId="77777777" w:rsidR="008338EE" w:rsidRPr="00EC2118" w:rsidRDefault="008338EE" w:rsidP="0038624C">
            <w:pPr>
              <w:rPr>
                <w:rFonts w:ascii="Arial" w:hAnsi="Arial" w:cs="Arial"/>
                <w:sz w:val="36"/>
              </w:rPr>
            </w:pPr>
            <w:r w:rsidRPr="00EC2118">
              <w:rPr>
                <w:rFonts w:ascii="Arial" w:hAnsi="Arial" w:cs="Arial"/>
                <w:sz w:val="20"/>
                <w:szCs w:val="20"/>
              </w:rPr>
              <w:t>0.001</w:t>
            </w:r>
          </w:p>
        </w:tc>
        <w:tc>
          <w:tcPr>
            <w:tcW w:w="1320" w:type="dxa"/>
            <w:vAlign w:val="bottom"/>
          </w:tcPr>
          <w:p w14:paraId="3BFFED7C" w14:textId="77777777" w:rsidR="008338EE" w:rsidRPr="00EC2118" w:rsidRDefault="008338EE" w:rsidP="0038624C">
            <w:pPr>
              <w:rPr>
                <w:rFonts w:ascii="Arial" w:hAnsi="Arial" w:cs="Arial"/>
                <w:sz w:val="36"/>
              </w:rPr>
            </w:pPr>
            <w:r>
              <w:rPr>
                <w:rFonts w:ascii="Arial" w:hAnsi="Arial" w:cs="Arial"/>
                <w:sz w:val="20"/>
                <w:szCs w:val="20"/>
              </w:rPr>
              <w:t>-0.033</w:t>
            </w:r>
          </w:p>
        </w:tc>
        <w:tc>
          <w:tcPr>
            <w:tcW w:w="1320" w:type="dxa"/>
            <w:vAlign w:val="bottom"/>
          </w:tcPr>
          <w:p w14:paraId="64467633"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340</w:t>
            </w:r>
          </w:p>
        </w:tc>
      </w:tr>
      <w:tr w:rsidR="008338EE" w:rsidRPr="00EC2118" w14:paraId="40FF06C0" w14:textId="77777777" w:rsidTr="0038624C">
        <w:trPr>
          <w:trHeight w:val="249"/>
        </w:trPr>
        <w:tc>
          <w:tcPr>
            <w:tcW w:w="1319" w:type="dxa"/>
            <w:vAlign w:val="bottom"/>
          </w:tcPr>
          <w:p w14:paraId="4BFB36E8" w14:textId="77777777" w:rsidR="008338EE" w:rsidRPr="00865D21" w:rsidRDefault="008338EE" w:rsidP="0038624C">
            <w:pPr>
              <w:rPr>
                <w:rFonts w:ascii="Arial" w:hAnsi="Arial" w:cs="Arial"/>
                <w:sz w:val="36"/>
              </w:rPr>
            </w:pPr>
            <w:r w:rsidRPr="00865D21">
              <w:rPr>
                <w:rFonts w:ascii="Arial" w:hAnsi="Arial" w:cs="Arial"/>
                <w:bCs/>
                <w:sz w:val="20"/>
                <w:szCs w:val="20"/>
              </w:rPr>
              <w:t>p&lt;0.3</w:t>
            </w:r>
          </w:p>
        </w:tc>
        <w:tc>
          <w:tcPr>
            <w:tcW w:w="1319" w:type="dxa"/>
            <w:vAlign w:val="bottom"/>
          </w:tcPr>
          <w:p w14:paraId="7F764B41"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7831E8CE" w14:textId="77777777" w:rsidR="008338EE" w:rsidRPr="00341BA7" w:rsidRDefault="008338EE" w:rsidP="0038624C">
            <w:pPr>
              <w:rPr>
                <w:rFonts w:ascii="Arial" w:hAnsi="Arial" w:cs="Arial"/>
                <w:sz w:val="20"/>
                <w:szCs w:val="20"/>
              </w:rPr>
            </w:pPr>
            <w:r>
              <w:rPr>
                <w:rFonts w:ascii="Arial" w:hAnsi="Arial" w:cs="Arial"/>
                <w:sz w:val="20"/>
                <w:szCs w:val="20"/>
              </w:rPr>
              <w:t>0.022</w:t>
            </w:r>
          </w:p>
        </w:tc>
        <w:tc>
          <w:tcPr>
            <w:tcW w:w="1320" w:type="dxa"/>
            <w:vAlign w:val="bottom"/>
          </w:tcPr>
          <w:p w14:paraId="2DBD3221" w14:textId="77777777" w:rsidR="008338EE" w:rsidRPr="00341BA7" w:rsidRDefault="008338EE" w:rsidP="0038624C">
            <w:pPr>
              <w:rPr>
                <w:rFonts w:ascii="Arial" w:hAnsi="Arial" w:cs="Arial"/>
                <w:sz w:val="20"/>
                <w:szCs w:val="20"/>
              </w:rPr>
            </w:pPr>
            <w:r>
              <w:rPr>
                <w:rFonts w:ascii="Arial" w:hAnsi="Arial" w:cs="Arial"/>
                <w:sz w:val="20"/>
                <w:szCs w:val="20"/>
              </w:rPr>
              <w:t>0.552</w:t>
            </w:r>
          </w:p>
        </w:tc>
        <w:tc>
          <w:tcPr>
            <w:tcW w:w="1320" w:type="dxa"/>
            <w:vAlign w:val="bottom"/>
          </w:tcPr>
          <w:p w14:paraId="4E38E93D" w14:textId="77777777" w:rsidR="008338EE" w:rsidRPr="00EC2118" w:rsidRDefault="008338EE" w:rsidP="0038624C">
            <w:pPr>
              <w:rPr>
                <w:rFonts w:ascii="Arial" w:hAnsi="Arial" w:cs="Arial"/>
                <w:sz w:val="36"/>
              </w:rPr>
            </w:pPr>
            <w:r w:rsidRPr="00EC2118">
              <w:rPr>
                <w:rFonts w:ascii="Arial" w:hAnsi="Arial" w:cs="Arial"/>
                <w:sz w:val="20"/>
                <w:szCs w:val="20"/>
              </w:rPr>
              <w:t>0.001</w:t>
            </w:r>
          </w:p>
        </w:tc>
        <w:tc>
          <w:tcPr>
            <w:tcW w:w="1320" w:type="dxa"/>
            <w:vAlign w:val="bottom"/>
          </w:tcPr>
          <w:p w14:paraId="7858AD69" w14:textId="77777777" w:rsidR="008338EE" w:rsidRPr="00EC2118" w:rsidRDefault="008338EE" w:rsidP="0038624C">
            <w:pPr>
              <w:rPr>
                <w:rFonts w:ascii="Arial" w:hAnsi="Arial" w:cs="Arial"/>
                <w:sz w:val="36"/>
              </w:rPr>
            </w:pPr>
            <w:r>
              <w:rPr>
                <w:rFonts w:ascii="Arial" w:hAnsi="Arial" w:cs="Arial"/>
                <w:sz w:val="20"/>
                <w:szCs w:val="20"/>
              </w:rPr>
              <w:t>-</w:t>
            </w:r>
            <w:r w:rsidRPr="00EC2118">
              <w:rPr>
                <w:rFonts w:ascii="Arial" w:hAnsi="Arial" w:cs="Arial"/>
                <w:sz w:val="20"/>
                <w:szCs w:val="20"/>
              </w:rPr>
              <w:t>0.</w:t>
            </w:r>
            <w:r>
              <w:rPr>
                <w:rFonts w:ascii="Arial" w:hAnsi="Arial" w:cs="Arial"/>
                <w:sz w:val="20"/>
                <w:szCs w:val="20"/>
              </w:rPr>
              <w:t>033</w:t>
            </w:r>
          </w:p>
        </w:tc>
        <w:tc>
          <w:tcPr>
            <w:tcW w:w="1320" w:type="dxa"/>
            <w:vAlign w:val="bottom"/>
          </w:tcPr>
          <w:p w14:paraId="7D0196B1"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356</w:t>
            </w:r>
          </w:p>
        </w:tc>
      </w:tr>
      <w:tr w:rsidR="008338EE" w:rsidRPr="00EC2118" w14:paraId="3332B7B6" w14:textId="77777777" w:rsidTr="0038624C">
        <w:trPr>
          <w:trHeight w:val="249"/>
        </w:trPr>
        <w:tc>
          <w:tcPr>
            <w:tcW w:w="1319" w:type="dxa"/>
            <w:vAlign w:val="bottom"/>
          </w:tcPr>
          <w:p w14:paraId="12B2D6BC" w14:textId="77777777" w:rsidR="008338EE" w:rsidRPr="00865D21" w:rsidRDefault="008338EE" w:rsidP="0038624C">
            <w:pPr>
              <w:rPr>
                <w:rFonts w:ascii="Arial" w:hAnsi="Arial" w:cs="Arial"/>
                <w:sz w:val="36"/>
              </w:rPr>
            </w:pPr>
            <w:r w:rsidRPr="00865D21">
              <w:rPr>
                <w:rFonts w:ascii="Arial" w:hAnsi="Arial" w:cs="Arial"/>
                <w:bCs/>
                <w:sz w:val="20"/>
                <w:szCs w:val="20"/>
              </w:rPr>
              <w:t>p&lt;0.4</w:t>
            </w:r>
          </w:p>
        </w:tc>
        <w:tc>
          <w:tcPr>
            <w:tcW w:w="1319" w:type="dxa"/>
            <w:vAlign w:val="bottom"/>
          </w:tcPr>
          <w:p w14:paraId="71E49BBF"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6A37EA17" w14:textId="77777777" w:rsidR="008338EE" w:rsidRPr="00341BA7" w:rsidRDefault="008338EE" w:rsidP="0038624C">
            <w:pPr>
              <w:rPr>
                <w:rFonts w:ascii="Arial" w:hAnsi="Arial" w:cs="Arial"/>
                <w:sz w:val="20"/>
                <w:szCs w:val="20"/>
              </w:rPr>
            </w:pPr>
            <w:r>
              <w:rPr>
                <w:rFonts w:ascii="Arial" w:hAnsi="Arial" w:cs="Arial"/>
                <w:sz w:val="20"/>
                <w:szCs w:val="20"/>
              </w:rPr>
              <w:t>0.024</w:t>
            </w:r>
          </w:p>
        </w:tc>
        <w:tc>
          <w:tcPr>
            <w:tcW w:w="1320" w:type="dxa"/>
            <w:vAlign w:val="bottom"/>
          </w:tcPr>
          <w:p w14:paraId="7E1C705C" w14:textId="77777777" w:rsidR="008338EE" w:rsidRPr="00341BA7" w:rsidRDefault="008338EE" w:rsidP="0038624C">
            <w:pPr>
              <w:rPr>
                <w:rFonts w:ascii="Arial" w:hAnsi="Arial" w:cs="Arial"/>
                <w:sz w:val="20"/>
                <w:szCs w:val="20"/>
              </w:rPr>
            </w:pPr>
            <w:r>
              <w:rPr>
                <w:rFonts w:ascii="Arial" w:hAnsi="Arial" w:cs="Arial"/>
                <w:sz w:val="20"/>
                <w:szCs w:val="20"/>
              </w:rPr>
              <w:t>0.515</w:t>
            </w:r>
          </w:p>
        </w:tc>
        <w:tc>
          <w:tcPr>
            <w:tcW w:w="1320" w:type="dxa"/>
            <w:vAlign w:val="bottom"/>
          </w:tcPr>
          <w:p w14:paraId="240F6ADE" w14:textId="77777777" w:rsidR="008338EE" w:rsidRPr="00EC2118" w:rsidRDefault="008338EE" w:rsidP="0038624C">
            <w:pPr>
              <w:rPr>
                <w:rFonts w:ascii="Arial" w:hAnsi="Arial" w:cs="Arial"/>
                <w:sz w:val="36"/>
              </w:rPr>
            </w:pPr>
            <w:r w:rsidRPr="00EC2118">
              <w:rPr>
                <w:rFonts w:ascii="Arial" w:hAnsi="Arial" w:cs="Arial"/>
                <w:sz w:val="20"/>
                <w:szCs w:val="20"/>
              </w:rPr>
              <w:t>0.001</w:t>
            </w:r>
          </w:p>
        </w:tc>
        <w:tc>
          <w:tcPr>
            <w:tcW w:w="1320" w:type="dxa"/>
            <w:vAlign w:val="bottom"/>
          </w:tcPr>
          <w:p w14:paraId="7E837A6C" w14:textId="77777777" w:rsidR="008338EE" w:rsidRPr="00EC2118" w:rsidRDefault="008338EE" w:rsidP="0038624C">
            <w:pPr>
              <w:rPr>
                <w:rFonts w:ascii="Arial" w:hAnsi="Arial" w:cs="Arial"/>
                <w:sz w:val="36"/>
              </w:rPr>
            </w:pPr>
            <w:r>
              <w:rPr>
                <w:rFonts w:ascii="Arial" w:hAnsi="Arial" w:cs="Arial"/>
                <w:sz w:val="20"/>
                <w:szCs w:val="20"/>
              </w:rPr>
              <w:t>-</w:t>
            </w:r>
            <w:r w:rsidRPr="00EC2118">
              <w:rPr>
                <w:rFonts w:ascii="Arial" w:hAnsi="Arial" w:cs="Arial"/>
                <w:sz w:val="20"/>
                <w:szCs w:val="20"/>
              </w:rPr>
              <w:t>0.</w:t>
            </w:r>
            <w:r>
              <w:rPr>
                <w:rFonts w:ascii="Arial" w:hAnsi="Arial" w:cs="Arial"/>
                <w:sz w:val="20"/>
                <w:szCs w:val="20"/>
              </w:rPr>
              <w:t>042</w:t>
            </w:r>
          </w:p>
        </w:tc>
        <w:tc>
          <w:tcPr>
            <w:tcW w:w="1320" w:type="dxa"/>
            <w:vAlign w:val="bottom"/>
          </w:tcPr>
          <w:p w14:paraId="14FC6EC8" w14:textId="77777777" w:rsidR="008338EE" w:rsidRPr="00EC2118" w:rsidRDefault="008338EE" w:rsidP="0038624C">
            <w:pPr>
              <w:rPr>
                <w:rFonts w:ascii="Arial" w:hAnsi="Arial" w:cs="Arial"/>
                <w:sz w:val="36"/>
              </w:rPr>
            </w:pPr>
            <w:r w:rsidRPr="00EC2118">
              <w:rPr>
                <w:rFonts w:ascii="Arial" w:hAnsi="Arial" w:cs="Arial"/>
                <w:sz w:val="20"/>
                <w:szCs w:val="20"/>
              </w:rPr>
              <w:t>0.</w:t>
            </w:r>
            <w:r>
              <w:rPr>
                <w:rFonts w:ascii="Arial" w:hAnsi="Arial" w:cs="Arial"/>
                <w:sz w:val="20"/>
                <w:szCs w:val="20"/>
              </w:rPr>
              <w:t>249</w:t>
            </w:r>
          </w:p>
        </w:tc>
      </w:tr>
      <w:tr w:rsidR="008338EE" w:rsidRPr="00EC2118" w14:paraId="3E03F195" w14:textId="77777777" w:rsidTr="0038624C">
        <w:trPr>
          <w:trHeight w:val="89"/>
        </w:trPr>
        <w:tc>
          <w:tcPr>
            <w:tcW w:w="1319" w:type="dxa"/>
            <w:vAlign w:val="bottom"/>
          </w:tcPr>
          <w:p w14:paraId="3BBE9EC7" w14:textId="77777777" w:rsidR="008338EE" w:rsidRPr="00865D21" w:rsidRDefault="008338EE" w:rsidP="0038624C">
            <w:pPr>
              <w:rPr>
                <w:rFonts w:ascii="Arial" w:hAnsi="Arial" w:cs="Arial"/>
                <w:sz w:val="36"/>
              </w:rPr>
            </w:pPr>
            <w:r w:rsidRPr="00865D21">
              <w:rPr>
                <w:rFonts w:ascii="Arial" w:hAnsi="Arial" w:cs="Arial"/>
                <w:bCs/>
                <w:sz w:val="20"/>
                <w:szCs w:val="20"/>
              </w:rPr>
              <w:t>p&lt;0.5</w:t>
            </w:r>
          </w:p>
        </w:tc>
        <w:tc>
          <w:tcPr>
            <w:tcW w:w="1319" w:type="dxa"/>
            <w:vAlign w:val="bottom"/>
          </w:tcPr>
          <w:p w14:paraId="1ADE1415" w14:textId="77777777" w:rsidR="008338EE" w:rsidRPr="00341BA7" w:rsidRDefault="008338EE" w:rsidP="0038624C">
            <w:pPr>
              <w:rPr>
                <w:rFonts w:ascii="Arial" w:hAnsi="Arial" w:cs="Arial"/>
                <w:sz w:val="20"/>
                <w:szCs w:val="20"/>
              </w:rPr>
            </w:pPr>
            <w:r>
              <w:rPr>
                <w:rFonts w:ascii="Arial" w:hAnsi="Arial" w:cs="Arial"/>
                <w:sz w:val="20"/>
                <w:szCs w:val="20"/>
              </w:rPr>
              <w:t>0.000</w:t>
            </w:r>
          </w:p>
        </w:tc>
        <w:tc>
          <w:tcPr>
            <w:tcW w:w="1320" w:type="dxa"/>
            <w:vAlign w:val="bottom"/>
          </w:tcPr>
          <w:p w14:paraId="54B530A9" w14:textId="77777777" w:rsidR="008338EE" w:rsidRPr="00341BA7" w:rsidRDefault="008338EE" w:rsidP="0038624C">
            <w:pPr>
              <w:rPr>
                <w:rFonts w:ascii="Arial" w:hAnsi="Arial" w:cs="Arial"/>
                <w:sz w:val="20"/>
                <w:szCs w:val="20"/>
              </w:rPr>
            </w:pPr>
            <w:r>
              <w:rPr>
                <w:rFonts w:ascii="Arial" w:hAnsi="Arial" w:cs="Arial"/>
                <w:sz w:val="20"/>
                <w:szCs w:val="20"/>
              </w:rPr>
              <w:t>0.029</w:t>
            </w:r>
          </w:p>
        </w:tc>
        <w:tc>
          <w:tcPr>
            <w:tcW w:w="1320" w:type="dxa"/>
            <w:vAlign w:val="bottom"/>
          </w:tcPr>
          <w:p w14:paraId="4618A4BA" w14:textId="77777777" w:rsidR="008338EE" w:rsidRPr="00341BA7" w:rsidRDefault="008338EE" w:rsidP="0038624C">
            <w:pPr>
              <w:rPr>
                <w:rFonts w:ascii="Arial" w:hAnsi="Arial" w:cs="Arial"/>
                <w:sz w:val="20"/>
                <w:szCs w:val="20"/>
              </w:rPr>
            </w:pPr>
            <w:r>
              <w:rPr>
                <w:rFonts w:ascii="Arial" w:hAnsi="Arial" w:cs="Arial"/>
                <w:sz w:val="20"/>
                <w:szCs w:val="20"/>
              </w:rPr>
              <w:t>0.441</w:t>
            </w:r>
          </w:p>
        </w:tc>
        <w:tc>
          <w:tcPr>
            <w:tcW w:w="1320" w:type="dxa"/>
            <w:vAlign w:val="bottom"/>
          </w:tcPr>
          <w:p w14:paraId="3A744B89" w14:textId="77777777" w:rsidR="008338EE" w:rsidRPr="00EC2118" w:rsidRDefault="008338EE" w:rsidP="0038624C">
            <w:pPr>
              <w:rPr>
                <w:rFonts w:ascii="Arial" w:hAnsi="Arial" w:cs="Arial"/>
                <w:sz w:val="36"/>
              </w:rPr>
            </w:pPr>
            <w:r w:rsidRPr="00EC2118">
              <w:rPr>
                <w:rFonts w:ascii="Arial" w:hAnsi="Arial" w:cs="Arial"/>
                <w:sz w:val="20"/>
                <w:szCs w:val="20"/>
              </w:rPr>
              <w:t>0.001</w:t>
            </w:r>
          </w:p>
        </w:tc>
        <w:tc>
          <w:tcPr>
            <w:tcW w:w="1320" w:type="dxa"/>
            <w:vAlign w:val="bottom"/>
          </w:tcPr>
          <w:p w14:paraId="1A82AA0D" w14:textId="77777777" w:rsidR="008338EE" w:rsidRPr="00EC2118" w:rsidRDefault="008338EE" w:rsidP="0038624C">
            <w:pPr>
              <w:rPr>
                <w:rFonts w:ascii="Arial" w:hAnsi="Arial" w:cs="Arial"/>
                <w:sz w:val="36"/>
              </w:rPr>
            </w:pPr>
            <w:r>
              <w:rPr>
                <w:rFonts w:ascii="Arial" w:hAnsi="Arial" w:cs="Arial"/>
                <w:sz w:val="20"/>
                <w:szCs w:val="20"/>
              </w:rPr>
              <w:t>-0.043</w:t>
            </w:r>
          </w:p>
        </w:tc>
        <w:tc>
          <w:tcPr>
            <w:tcW w:w="1320" w:type="dxa"/>
            <w:vAlign w:val="bottom"/>
          </w:tcPr>
          <w:p w14:paraId="21C2820D" w14:textId="77777777" w:rsidR="008338EE" w:rsidRPr="00EC2118" w:rsidRDefault="008338EE" w:rsidP="0038624C">
            <w:pPr>
              <w:rPr>
                <w:rFonts w:ascii="Arial" w:hAnsi="Arial" w:cs="Arial"/>
                <w:sz w:val="36"/>
              </w:rPr>
            </w:pPr>
            <w:r w:rsidRPr="00EC2118">
              <w:rPr>
                <w:rFonts w:ascii="Arial" w:hAnsi="Arial" w:cs="Arial"/>
                <w:sz w:val="20"/>
                <w:szCs w:val="20"/>
              </w:rPr>
              <w:t>0.2</w:t>
            </w:r>
            <w:r>
              <w:rPr>
                <w:rFonts w:ascii="Arial" w:hAnsi="Arial" w:cs="Arial"/>
                <w:sz w:val="20"/>
                <w:szCs w:val="20"/>
              </w:rPr>
              <w:t>43</w:t>
            </w:r>
          </w:p>
        </w:tc>
      </w:tr>
      <w:tr w:rsidR="00070F35" w:rsidRPr="00EC2118" w14:paraId="628D2ACC" w14:textId="77777777" w:rsidTr="00F8523E">
        <w:trPr>
          <w:trHeight w:val="89"/>
        </w:trPr>
        <w:tc>
          <w:tcPr>
            <w:tcW w:w="9238" w:type="dxa"/>
            <w:gridSpan w:val="7"/>
            <w:vAlign w:val="bottom"/>
          </w:tcPr>
          <w:p w14:paraId="4FB80B0F" w14:textId="058DA5A2" w:rsidR="00070F35" w:rsidRPr="00070F35" w:rsidRDefault="00070F35" w:rsidP="0038624C">
            <w:pPr>
              <w:rPr>
                <w:rFonts w:ascii="Arial" w:hAnsi="Arial" w:cs="Arial"/>
                <w:sz w:val="18"/>
                <w:szCs w:val="20"/>
              </w:rPr>
            </w:pPr>
            <w:bookmarkStart w:id="0" w:name="_GoBack"/>
            <w:r>
              <w:rPr>
                <w:rFonts w:ascii="Arial" w:hAnsi="Arial" w:cs="Arial"/>
                <w:sz w:val="18"/>
                <w:szCs w:val="20"/>
              </w:rPr>
              <w:t>Footn</w:t>
            </w:r>
            <w:r w:rsidRPr="00070F35">
              <w:rPr>
                <w:rFonts w:ascii="Arial" w:hAnsi="Arial" w:cs="Arial"/>
                <w:sz w:val="18"/>
                <w:szCs w:val="20"/>
              </w:rPr>
              <w:t xml:space="preserve">ote: Polygenic risk scores are derived from </w:t>
            </w:r>
            <w:r w:rsidRPr="00070F35">
              <w:rPr>
                <w:rFonts w:ascii="Arial" w:eastAsia="Times New Roman" w:hAnsi="Arial" w:cs="Arial"/>
                <w:sz w:val="18"/>
                <w:szCs w:val="20"/>
              </w:rPr>
              <w:t>International Cannabis Consortium cannabis initiation GWAS</w:t>
            </w:r>
            <w:r w:rsidRPr="00070F35">
              <w:rPr>
                <w:rFonts w:ascii="Arial" w:eastAsia="Times New Roman" w:hAnsi="Arial" w:cs="Arial"/>
                <w:sz w:val="18"/>
                <w:szCs w:val="20"/>
              </w:rPr>
              <w:fldChar w:fldCharType="begin" w:fldLock="1"/>
            </w:r>
            <w:r w:rsidRPr="00070F35">
              <w:rPr>
                <w:rFonts w:ascii="Arial" w:eastAsia="Times New Roman" w:hAnsi="Arial" w:cs="Arial"/>
                <w:sz w:val="18"/>
                <w:szCs w:val="20"/>
              </w:rPr>
              <w:instrText>ADDIN CSL_CITATION {"citationItems":[{"id":"ITEM-1","itemData":{"DOI":"10.1038/tp.2016.36","ISBN":"2158-3188 (Electronic)\r2158-3188 (Linking)","ISSN":"21583188","PMID":"27023175","abstract":"Cannabis is the most widely produced and consumed illicit psychoactive substance worldwide. Occasional cannabis use can progress to frequent use, abuse and dependence with all known adverse physical, psychological and social consequences. Individual differences in cannabis initiation are heritable (40-48%). The International Cannabis Consortium was established with the aim to identify genetic risk variants of cannabis use. We conducted a meta-analysis of genome-wide association data of 13 cohorts (N=32 330) and four replication samples (N=5627). In addition, we performed a gene-based test of association, estimated single-nucleotide polymorphism (SNP)-based heritability and explored the genetic correlation between lifetime cannabis use and cigarette use using LD score regression. No individual SNPs reached genome-wide significance. Nonetheless, gene-based tests identified four genes significantly associated with lifetime cannabis use: NCAM1, CADM2, SCOC and KCNT2. Previous studies reported associations of NCAM1 with cigarette smoking and other substance use, and those of CADM2 with body mass index, processing speed and autism disorders, which are phenotypes previously reported to be associated with cannabis use. Furthermore, we showed that, combined across the genome, all common SNPs explained 13-20% (P&lt;0.001) of the liability of lifetime cannabis use. Finally, there was a strong genetic correlation (rg=0.83; P=1.85 × 10(-8)) between lifetime cannabis use and lifetime cigarette smoking implying that the SNP effect sizes of the two traits are highly correlated. This is the largest meta-analysis of cannabis GWA studies to date, revealing important new insights into the genetic pathways of lifetime cannabis use. Future functional studies should explore the impact of the identified genes on the biological mechanisms of cannabis use.","author":[{"dropping-particle":"","family":"Stringer","given":"S.","non-dropping-particle":"","parse-names":false,"suffix":""},{"dropping-particle":"","family":"Minică","given":"C. C.","non-dropping-particle":"","parse-names":false,"suffix":""},{"dropping-particle":"","family":"Verweij","given":"K. J.H.","non-dropping-particle":"","parse-names":false,"suffix":""},{"dropping-particle":"","family":"Mbarek","given":"H.","non-dropping-particle":"","parse-names":false,"suffix":""},{"dropping-particle":"","family":"Bernard","given":"M.","non-dropping-particle":"","parse-names":false,"suffix":""},{"dropping-particle":"","family":"Derringer","given":"J.","non-dropping-particle":"","parse-names":false,"suffix":""},{"dropping-particle":"","family":"Eijk","given":"K. R.","non-dropping-particle":"van","parse-names":false,"suffix":""},{"dropping-particle":"","family":"Isen","given":"J. D.","non-dropping-particle":"","parse-names":false,"suffix":""},{"dropping-particle":"","family":"Loukola","given":"A.","non-dropping-particle":"","parse-names":false,"suffix":""},{"dropping-particle":"","family":"Maciejewski","given":"D. F.","non-dropping-particle":"","parse-names":false,"suffix":""},{"dropping-particle":"","family":"Mihailov","given":"E.","non-dropping-particle":"","parse-names":false,"suffix":""},{"dropping-particle":"","family":"Most","given":"P. J.","non-dropping-particle":"van der","parse-names":false,"suffix":""},{"dropping-particle":"","family":"Sánchez-Mora","given":"C.","non-dropping-particle":"","parse-names":false,"suffix":""},{"dropping-particle":"","family":"Roos","given":"L.","non-dropping-particle":"","parse-names":false,"suffix":""},{"dropping-particle":"","family":"Sherva","given":"R.","non-dropping-particle":"","parse-names":false,"suffix":""},{"dropping-particle":"","family":"Walters","given":"R.","non-dropping-particle":"","parse-names":false,"suffix":""},{"dropping-particle":"","family":"Ware","given":"J. J.","non-dropping-particle":"","parse-names":false,"suffix":""},{"dropping-particle":"","family":"Abdellaoui","given":"A.","non-dropping-particle":"","parse-names":false,"suffix":""},{"dropping-particle":"","family":"Bigdeli","given":"T. B.","non-dropping-particle":"","parse-names":false,"suffix":""},{"dropping-particle":"","family":"Branje","given":"S. J.T.","non-dropping-particle":"","parse-names":false,"suffix":""},{"dropping-particle":"","family":"Brown","given":"S. A.","non-dropping-particle":"","parse-names":false,"suffix":""},{"dropping-particle":"","family":"Bruinenberg","given":"M.","non-dropping-particle":"","parse-names":false,"suffix":""},{"dropping-particle":"","family":"Casas","given":"M.","non-dropping-particle":"","parse-names":false,"suffix":""},{"dropping-particle":"","family":"Esko","given":"T.","non-dropping-particle":"","parse-names":false,"suffix":""},{"dropping-particle":"","family":"Garcia-Martinez","given":"I.","non-dropping-particle":"","parse-names":false,"suffix":""},{"dropping-particle":"","family":"Gordon","given":"S. D.","non-dropping-particle":"","parse-names":false,"suffix":""},{"dropping-particle":"","family":"Harris","given":"J. M.","non-dropping-particle":"","parse-names":false,"suffix":""},{"dropping-particle":"","family":"Hartman","given":"C. A.","non-dropping-particle":"","parse-names":false,"suffix":""},{"dropping-particle":"","family":"Henders","given":"A. K.","non-dropping-particle":"","parse-names":false,"suffix":""},{"dropping-particle":"","family":"Heath","given":"A. C.","non-dropping-particle":"","parse-names":false,"suffix":""},{"dropping-particle":"","family":"Hickie","given":"I. B.","non-dropping-particle":"","parse-names":false,"suffix":""},{"dropping-particle":"","family":"Hickman","given":"M.","non-dropping-particle":"","parse-names":false,"suffix":""},{"dropping-particle":"","family":"Hopfer","given":"C. J.","non-dropping-particle":"","parse-names":false,"suffix":""},{"dropping-particle":"","family":"Hottenga","given":"J. J.","non-dropping-particle":"","parse-names":false,"suffix":""},{"dropping-particle":"","family":"Huizink","given":"A. C.","non-dropping-particle":"","parse-names":false,"suffix":""},{"dropping-particle":"","family":"Irons","given":"D. E.","non-dropping-particle":"","parse-names":false,"suffix":""},{"dropping-particle":"","family":"Kahn","given":"R. S.","non-dropping-particle":"","parse-names":false,"suffix":""},{"dropping-particle":"","family":"Korhonen","given":"T.","non-dropping-particle":"","parse-names":false,"suffix":""},{"dropping-particle":"","family":"Kranzler","given":"H. R.","non-dropping-particle":"","parse-names":false,"suffix":""},{"dropping-particle":"","family":"Krauter","given":"K.","non-dropping-particle":"","parse-names":false,"suffix":""},{"dropping-particle":"","family":"Lier","given":"P. A.C.","non-dropping-particle":"van","parse-names":false,"suffix":""},{"dropping-particle":"","family":"Lubke","given":"G. H.","non-dropping-particle":"","parse-names":false,"suffix":""},{"dropping-particle":"","family":"Madden","given":"P. A.F.","non-dropping-particle":"","parse-names":false,"suffix":""},{"dropping-particle":"","family":"Mägi","given":"R.","non-dropping-particle":"","parse-names":false,"suffix":""},{"dropping-particle":"","family":"McGue","given":"M. K.","non-dropping-particle":"","parse-names":false,"suffix":""},{"dropping-particle":"","family":"Medland","given":"S. E.","non-dropping-particle":"","parse-names":false,"suffix":""},{"dropping-particle":"","family":"Meeus","given":"W. H.J.","non-dropping-particle":"","parse-names":false,"suffix":""},{"dropping-particle":"","family":"Miller","given":"M. B.","non-dropping-particle":"","parse-names":false,"suffix":""},{"dropping-particle":"","family":"Montgomery","given":"G. W.","non-dropping-particle":"","parse-names":false,"suffix":""},{"dropping-particle":"","family":"Nivard","given":"M. G.","non-dropping-particle":"","parse-names":false,"suffix":""},{"dropping-particle":"","family":"Nolte","given":"I. M.","non-dropping-particle":"","parse-names":false,"suffix":""},{"dropping-particle":"","family":"Oldehinkel","given":"A. J.","non-dropping-particle":"","parse-names":false,"suffix":""},{"dropping-particle":"","family":"Pausova","given":"Z.","non-dropping-particle":"","parse-names":false,"suffix":""},{"dropping-particle":"","family":"Qaiser","given":"B.","non-dropping-particle":"","parse-names":false,"suffix":""},{"dropping-particle":"","family":"Quaye","given":"L.","non-dropping-particle":"","parse-names":false,"suffix":""},{"dropping-particle":"","family":"Ramos-Quiroga","given":"J. A.","non-dropping-particle":"","parse-names":false,"suffix":""},{"dropping-particle":"","family":"Richarte","given":"V.","non-dropping-particle":"","parse-names":false,"suffix":""},{"dropping-particle":"","family":"Rose","given":"R. J.","non-dropping-particle":"","parse-names":false,"suffix":""},{"dropping-particle":"","family":"Shin","given":"J.","non-dropping-particle":"","parse-names":false,"suffix":""},{"dropping-particle":"","family":"Stallings","given":"M. C.","non-dropping-particle":"","parse-names":false,"suffix":""},{"dropping-particle":"","family":"Stiby","given":"A. I.","non-dropping-particle":"","parse-names":false,"suffix":""},{"dropping-particle":"","family":"Wall","given":"T. L.","non-dropping-particle":"","parse-names":false,"suffix":""},{"dropping-particle":"","family":"Wright","given":"M. J.","non-dropping-particle":"","parse-names":false,"suffix":""},{"dropping-particle":"","family":"Koot","given":"H. M.","non-dropping-particle":"","parse-names":false,"suffix":""},{"dropping-particle":"","family":"Paus","given":"T.","non-dropping-particle":"","parse-names":false,"suffix":""},{"dropping-particle":"","family":"Hewitt","given":"J. K.","non-dropping-particle":"","parse-names":false,"suffix":""},{"dropping-particle":"","family":"Ribasés","given":"M.","non-dropping-particle":"","parse-names":false,"suffix":""},{"dropping-particle":"","family":"Kaprio","given":"J.","non-dropping-particle":"","parse-names":false,"suffix":""},{"dropping-particle":"","family":"Boks","given":"M. P.","non-dropping-particle":"","parse-names":false,"suffix":""},{"dropping-particle":"","family":"Snieder","given":"H.","non-dropping-particle":"","parse-names":false,"suffix":""},{"dropping-particle":"","family":"Spector","given":"T.","non-dropping-particle":"","parse-names":false,"suffix":""},{"dropping-particle":"","family":"Munafò","given":"M. R.","non-dropping-particle":"","parse-names":false,"suffix":""},{"dropping-particle":"","family":"Metspalu","given":"A.","non-dropping-particle":"","parse-names":false,"suffix":""},{"dropping-particle":"","family":"Gelernter","given":"J.","non-dropping-particle":"","parse-names":false,"suffix":""},{"dropping-particle":"","family":"Boomsma","given":"D. I.","non-dropping-particle":"","parse-names":false,"suffix":""},{"dropping-particle":"","family":"Iacono","given":"W. G.","non-dropping-particle":"","parse-names":false,"suffix":""},{"dropping-particle":"","family":"Martin","given":"N. G.","non-dropping-particle":"","parse-names":false,"suffix":""},{"dropping-particle":"","family":"Gillespie","given":"N. A.","non-dropping-particle":"","parse-names":false,"suffix":""},{"dropping-particle":"","family":"Derks","given":"E. M.","non-dropping-particle":"","parse-names":false,"suffix":""},{"dropping-particle":"","family":"Vink","given":"J. M.","non-dropping-particle":"","parse-names":false,"suffix":""}],"container-title":"Translational psychiatry","id":"ITEM-1","issued":{"date-parts":[["2016"]]},"page":"e769","title":"Genome-wide association study of lifetime cannabis use based on a large meta-analytic sample of 32 330 subjects from the International Cannabis Consortium","type":"article-journal","volume":"6"},"uris":["http://www.mendeley.com/documents/?uuid=f638e1f8-004d-4aee-abda-3ae885358d81","http://www.mendeley.com/documents/?uuid=5a43876d-bed9-4eee-88ac-763d2b9d2054"]}],"mendeley":{"formattedCitation":"&lt;sup&gt;4&lt;/sup&gt;","plainTextFormattedCitation":"4","previouslyFormattedCitation":"&lt;sup&gt;4&lt;/sup&gt;"},"properties":{"noteIndex":0},"schema":"https://github.com/citation-style-language/schema/raw/master/csl-citation.json"}</w:instrText>
            </w:r>
            <w:r w:rsidRPr="00070F35">
              <w:rPr>
                <w:rFonts w:ascii="Arial" w:eastAsia="Times New Roman" w:hAnsi="Arial" w:cs="Arial"/>
                <w:sz w:val="18"/>
                <w:szCs w:val="20"/>
              </w:rPr>
              <w:fldChar w:fldCharType="separate"/>
            </w:r>
            <w:r w:rsidRPr="00070F35">
              <w:rPr>
                <w:rFonts w:ascii="Arial" w:eastAsia="Times New Roman" w:hAnsi="Arial" w:cs="Arial"/>
                <w:noProof/>
                <w:sz w:val="18"/>
                <w:szCs w:val="20"/>
                <w:vertAlign w:val="superscript"/>
              </w:rPr>
              <w:t>4</w:t>
            </w:r>
            <w:r w:rsidRPr="00070F35">
              <w:rPr>
                <w:rFonts w:ascii="Arial" w:eastAsia="Times New Roman" w:hAnsi="Arial" w:cs="Arial"/>
                <w:sz w:val="18"/>
                <w:szCs w:val="20"/>
              </w:rPr>
              <w:fldChar w:fldCharType="end"/>
            </w:r>
            <w:r w:rsidRPr="00070F35">
              <w:rPr>
                <w:rFonts w:ascii="Arial" w:eastAsia="Times New Roman" w:hAnsi="Arial" w:cs="Arial"/>
                <w:sz w:val="18"/>
                <w:szCs w:val="20"/>
              </w:rPr>
              <w:t xml:space="preserve"> summary statistics. </w:t>
            </w:r>
            <w:r w:rsidRPr="00070F35">
              <w:rPr>
                <w:rFonts w:ascii="Arial" w:hAnsi="Arial" w:cs="Arial"/>
                <w:sz w:val="18"/>
                <w:szCs w:val="20"/>
              </w:rPr>
              <w:t>Covariates include sex, birth cohort, PCs1-3</w:t>
            </w:r>
          </w:p>
        </w:tc>
      </w:tr>
      <w:bookmarkEnd w:id="0"/>
    </w:tbl>
    <w:p w14:paraId="1842328E" w14:textId="77777777" w:rsidR="008338EE" w:rsidRPr="00FF1E7A" w:rsidRDefault="008338EE" w:rsidP="008338EE">
      <w:pPr>
        <w:rPr>
          <w:rFonts w:ascii="Arial" w:hAnsi="Arial" w:cs="Arial"/>
          <w:sz w:val="36"/>
        </w:rPr>
      </w:pPr>
    </w:p>
    <w:p w14:paraId="3E9A23A3" w14:textId="77777777" w:rsidR="008338EE" w:rsidRDefault="008338EE" w:rsidP="008338EE">
      <w:pPr>
        <w:rPr>
          <w:rFonts w:ascii="Arial" w:hAnsi="Arial" w:cs="Arial"/>
        </w:rPr>
      </w:pPr>
    </w:p>
    <w:sectPr w:rsidR="008338EE" w:rsidSect="003B0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0292C"/>
    <w:multiLevelType w:val="hybridMultilevel"/>
    <w:tmpl w:val="4EBCDC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8EE"/>
    <w:rsid w:val="00070F35"/>
    <w:rsid w:val="001C2E49"/>
    <w:rsid w:val="002A7342"/>
    <w:rsid w:val="003B0B26"/>
    <w:rsid w:val="003E00B7"/>
    <w:rsid w:val="004E6B81"/>
    <w:rsid w:val="005F6978"/>
    <w:rsid w:val="008338EE"/>
    <w:rsid w:val="009A1AA7"/>
    <w:rsid w:val="00B526A5"/>
    <w:rsid w:val="00F91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235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8E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38E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38EE"/>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1927</Words>
  <Characters>10986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Meyers</dc:creator>
  <cp:keywords/>
  <dc:description/>
  <cp:lastModifiedBy>MeyersJL</cp:lastModifiedBy>
  <cp:revision>2</cp:revision>
  <dcterms:created xsi:type="dcterms:W3CDTF">2019-04-18T20:26:00Z</dcterms:created>
  <dcterms:modified xsi:type="dcterms:W3CDTF">2019-04-18T20:26:00Z</dcterms:modified>
</cp:coreProperties>
</file>