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CC6" w:rsidRDefault="00BB1CC6" w:rsidP="00BB1CC6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654D06">
        <w:rPr>
          <w:rFonts w:ascii="Arial" w:hAnsi="Arial" w:cs="Arial"/>
          <w:b/>
        </w:rPr>
        <w:t>3 File</w:t>
      </w:r>
      <w:bookmarkStart w:id="0" w:name="_GoBack"/>
      <w:bookmarkEnd w:id="0"/>
    </w:p>
    <w:p w:rsidR="00BB1CC6" w:rsidRDefault="00BB1CC6" w:rsidP="00BB1CC6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RESULTS</w:t>
      </w:r>
    </w:p>
    <w:p w:rsidR="00BB1CC6" w:rsidRPr="00A24584" w:rsidRDefault="00BB1CC6" w:rsidP="00BB1CC6">
      <w:pPr>
        <w:spacing w:line="480" w:lineRule="auto"/>
        <w:jc w:val="both"/>
        <w:rPr>
          <w:rFonts w:ascii="Arial" w:hAnsi="Arial" w:cs="Arial"/>
          <w:b/>
        </w:rPr>
      </w:pPr>
      <w:r w:rsidRPr="00A24584">
        <w:rPr>
          <w:rFonts w:ascii="Arial" w:hAnsi="Arial" w:cs="Arial"/>
          <w:b/>
        </w:rPr>
        <w:t>Mass spectrometry demonstrates no differences in lipid mediators in BAL fluid</w:t>
      </w:r>
    </w:p>
    <w:p w:rsidR="00BB1CC6" w:rsidRPr="00A24584" w:rsidRDefault="00BB1CC6" w:rsidP="00BB1CC6">
      <w:pPr>
        <w:spacing w:line="480" w:lineRule="auto"/>
        <w:jc w:val="both"/>
        <w:rPr>
          <w:rFonts w:ascii="Arial" w:hAnsi="Arial" w:cs="Arial"/>
        </w:rPr>
      </w:pPr>
      <w:r w:rsidRPr="00A24584">
        <w:rPr>
          <w:rFonts w:ascii="Arial" w:hAnsi="Arial" w:cs="Arial"/>
        </w:rPr>
        <w:t xml:space="preserve">Two BAL fluid samples in the pioglitazone </w:t>
      </w:r>
      <w:r>
        <w:rPr>
          <w:rFonts w:ascii="Arial" w:hAnsi="Arial" w:cs="Arial"/>
        </w:rPr>
        <w:t>cohort and one in the placebo cohort</w:t>
      </w:r>
      <w:r w:rsidRPr="00A24584">
        <w:rPr>
          <w:rFonts w:ascii="Arial" w:hAnsi="Arial" w:cs="Arial"/>
        </w:rPr>
        <w:t xml:space="preserve"> could not be analyzed by mass spectrometry</w:t>
      </w:r>
      <w:r>
        <w:rPr>
          <w:rFonts w:ascii="Arial" w:hAnsi="Arial" w:cs="Arial"/>
        </w:rPr>
        <w:t xml:space="preserve"> as a result of storage issues</w:t>
      </w:r>
      <w:r w:rsidRPr="00A2458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The volunteer in the placebo cohort who did not undergo the BAL procedure had no BAL sample to analyze. </w:t>
      </w:r>
      <w:r w:rsidRPr="00A24584">
        <w:rPr>
          <w:rFonts w:ascii="Arial" w:hAnsi="Arial" w:cs="Arial"/>
        </w:rPr>
        <w:t>Therefore, the following numbers of samples were processed for LTB</w:t>
      </w:r>
      <w:r w:rsidRPr="00653488">
        <w:rPr>
          <w:rFonts w:ascii="Arial" w:hAnsi="Arial" w:cs="Arial"/>
          <w:vertAlign w:val="subscript"/>
        </w:rPr>
        <w:t>4</w:t>
      </w:r>
      <w:r w:rsidRPr="00A24584">
        <w:rPr>
          <w:rFonts w:ascii="Arial" w:hAnsi="Arial" w:cs="Arial"/>
        </w:rPr>
        <w:t xml:space="preserve"> and LTE</w:t>
      </w:r>
      <w:r w:rsidRPr="00653488">
        <w:rPr>
          <w:rFonts w:ascii="Arial" w:hAnsi="Arial" w:cs="Arial"/>
          <w:vertAlign w:val="subscript"/>
        </w:rPr>
        <w:t>4</w:t>
      </w:r>
      <w:r w:rsidRPr="00A24584">
        <w:rPr>
          <w:rFonts w:ascii="Arial" w:hAnsi="Arial" w:cs="Arial"/>
        </w:rPr>
        <w:t>: N=4 pioglitazone, N=6 zileuton, and N=</w:t>
      </w:r>
      <w:r>
        <w:rPr>
          <w:rFonts w:ascii="Arial" w:hAnsi="Arial" w:cs="Arial"/>
        </w:rPr>
        <w:t>4</w:t>
      </w:r>
      <w:r w:rsidRPr="00A24584">
        <w:rPr>
          <w:rFonts w:ascii="Arial" w:hAnsi="Arial" w:cs="Arial"/>
        </w:rPr>
        <w:t xml:space="preserve"> placebo cohort. These results showed no differences in levels among the cohorts after normalizing for the epithelial cell lining fluid</w:t>
      </w:r>
      <w:r w:rsidR="008B789A">
        <w:rPr>
          <w:rFonts w:ascii="Arial" w:hAnsi="Arial" w:cs="Arial"/>
        </w:rPr>
        <w:t xml:space="preserve"> based on a one-way analysis of variance (see Table below for summary data</w:t>
      </w:r>
      <w:r w:rsidR="005B02A2">
        <w:rPr>
          <w:rFonts w:ascii="Arial" w:hAnsi="Arial" w:cs="Arial"/>
        </w:rPr>
        <w:t xml:space="preserve">, p = 0.55 for </w:t>
      </w:r>
      <w:r w:rsidR="005B02A2" w:rsidRPr="00A24584">
        <w:rPr>
          <w:rFonts w:ascii="Arial" w:hAnsi="Arial" w:cs="Arial"/>
        </w:rPr>
        <w:t>LTB</w:t>
      </w:r>
      <w:r w:rsidR="005B02A2" w:rsidRPr="00653488">
        <w:rPr>
          <w:rFonts w:ascii="Arial" w:hAnsi="Arial" w:cs="Arial"/>
          <w:vertAlign w:val="subscript"/>
        </w:rPr>
        <w:t>4</w:t>
      </w:r>
      <w:r w:rsidR="005B02A2">
        <w:rPr>
          <w:rFonts w:ascii="Arial" w:hAnsi="Arial" w:cs="Arial"/>
        </w:rPr>
        <w:t xml:space="preserve">, p = 0.15 for </w:t>
      </w:r>
      <w:r w:rsidR="005B02A2" w:rsidRPr="00A24584">
        <w:rPr>
          <w:rFonts w:ascii="Arial" w:hAnsi="Arial" w:cs="Arial"/>
        </w:rPr>
        <w:t>LTE</w:t>
      </w:r>
      <w:r w:rsidR="005B02A2" w:rsidRPr="00653488">
        <w:rPr>
          <w:rFonts w:ascii="Arial" w:hAnsi="Arial" w:cs="Arial"/>
          <w:vertAlign w:val="subscript"/>
        </w:rPr>
        <w:t>4</w:t>
      </w:r>
      <w:r w:rsidR="008B789A">
        <w:rPr>
          <w:rFonts w:ascii="Arial" w:hAnsi="Arial" w:cs="Arial"/>
        </w:rPr>
        <w:t>)</w:t>
      </w:r>
      <w:r w:rsidR="004F5149">
        <w:rPr>
          <w:rFonts w:ascii="Arial" w:hAnsi="Arial" w:cs="Arial"/>
        </w:rPr>
        <w:t xml:space="preserve">. </w:t>
      </w:r>
      <w:r w:rsidRPr="00A24584">
        <w:rPr>
          <w:rFonts w:ascii="Arial" w:hAnsi="Arial" w:cs="Arial"/>
        </w:rPr>
        <w:t xml:space="preserve">Given the negative results using the primary outcome measure, </w:t>
      </w:r>
      <w:r w:rsidRPr="00A24584">
        <w:rPr>
          <w:rFonts w:ascii="Arial" w:hAnsi="Arial" w:cs="Arial"/>
          <w:i/>
        </w:rPr>
        <w:t>K</w:t>
      </w:r>
      <w:r w:rsidRPr="00A24584">
        <w:rPr>
          <w:rFonts w:ascii="Arial" w:hAnsi="Arial" w:cs="Arial"/>
          <w:vertAlign w:val="subscript"/>
        </w:rPr>
        <w:t>i</w:t>
      </w:r>
      <w:r w:rsidRPr="00A24584">
        <w:rPr>
          <w:rFonts w:ascii="Arial" w:hAnsi="Arial" w:cs="Arial"/>
        </w:rPr>
        <w:t xml:space="preserve">, limited </w:t>
      </w:r>
      <w:r w:rsidR="008B789A">
        <w:rPr>
          <w:rFonts w:ascii="Arial" w:hAnsi="Arial" w:cs="Arial"/>
        </w:rPr>
        <w:t xml:space="preserve">mass spectrometry </w:t>
      </w:r>
      <w:r w:rsidRPr="00A24584">
        <w:rPr>
          <w:rFonts w:ascii="Arial" w:hAnsi="Arial" w:cs="Arial"/>
        </w:rPr>
        <w:t xml:space="preserve">testing of </w:t>
      </w:r>
      <w:r>
        <w:rPr>
          <w:rFonts w:ascii="Arial" w:hAnsi="Arial" w:cs="Arial"/>
        </w:rPr>
        <w:t>four</w:t>
      </w:r>
      <w:r w:rsidRPr="00A24584">
        <w:rPr>
          <w:rFonts w:ascii="Arial" w:hAnsi="Arial" w:cs="Arial"/>
        </w:rPr>
        <w:t xml:space="preserve"> samples taken from the pioglitazone </w:t>
      </w:r>
      <w:r>
        <w:rPr>
          <w:rFonts w:ascii="Arial" w:hAnsi="Arial" w:cs="Arial"/>
        </w:rPr>
        <w:t xml:space="preserve">cohort and two samples from the </w:t>
      </w:r>
      <w:r w:rsidRPr="00A24584">
        <w:rPr>
          <w:rFonts w:ascii="Arial" w:hAnsi="Arial" w:cs="Arial"/>
        </w:rPr>
        <w:t>zileuton cohort was performed for 5-HETE, 15-HETE,</w:t>
      </w:r>
      <w:r>
        <w:rPr>
          <w:rFonts w:ascii="Arial" w:hAnsi="Arial" w:cs="Arial"/>
        </w:rPr>
        <w:t xml:space="preserve"> and LX</w:t>
      </w:r>
      <w:r w:rsidRPr="00A24584">
        <w:rPr>
          <w:rFonts w:ascii="Arial" w:hAnsi="Arial" w:cs="Arial"/>
        </w:rPr>
        <w:t>A</w:t>
      </w:r>
      <w:r w:rsidRPr="00653488">
        <w:rPr>
          <w:rFonts w:ascii="Arial" w:hAnsi="Arial" w:cs="Arial"/>
          <w:vertAlign w:val="subscript"/>
        </w:rPr>
        <w:t>4</w:t>
      </w:r>
      <w:r w:rsidRPr="00A24584">
        <w:rPr>
          <w:rFonts w:ascii="Arial" w:hAnsi="Arial" w:cs="Arial"/>
        </w:rPr>
        <w:t>. These meas</w:t>
      </w:r>
      <w:r>
        <w:rPr>
          <w:rFonts w:ascii="Arial" w:hAnsi="Arial" w:cs="Arial"/>
        </w:rPr>
        <w:t xml:space="preserve">urements showed low levels; therefore, no additional correction for epithelial cell lining fluid was applied, and no statistical testing was performed. These data are included in the data </w:t>
      </w:r>
      <w:r w:rsidR="004F5149">
        <w:rPr>
          <w:rFonts w:ascii="Arial" w:hAnsi="Arial" w:cs="Arial"/>
        </w:rPr>
        <w:t xml:space="preserve">file </w:t>
      </w:r>
      <w:r>
        <w:rPr>
          <w:rFonts w:ascii="Arial" w:hAnsi="Arial" w:cs="Arial"/>
        </w:rPr>
        <w:t>supplement for this manuscript.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0"/>
        <w:gridCol w:w="1795"/>
        <w:gridCol w:w="1530"/>
      </w:tblGrid>
      <w:tr w:rsidR="008B789A" w:rsidRPr="008B789A" w:rsidTr="008B789A">
        <w:trPr>
          <w:trHeight w:val="378"/>
        </w:trPr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789A" w:rsidRPr="008B789A" w:rsidRDefault="008B789A">
            <w:pPr>
              <w:rPr>
                <w:rFonts w:ascii="Arial" w:hAnsi="Arial" w:cs="Arial"/>
                <w:b/>
              </w:rPr>
            </w:pPr>
            <w:r w:rsidRPr="008B789A">
              <w:rPr>
                <w:rFonts w:ascii="Arial" w:hAnsi="Arial" w:cs="Arial"/>
                <w:b/>
              </w:rPr>
              <w:t>Treatment Cohort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789A" w:rsidRPr="008B789A" w:rsidRDefault="008B789A">
            <w:pPr>
              <w:rPr>
                <w:rFonts w:ascii="Arial" w:hAnsi="Arial" w:cs="Arial"/>
                <w:b/>
              </w:rPr>
            </w:pPr>
            <w:r w:rsidRPr="008B789A">
              <w:rPr>
                <w:rFonts w:ascii="Arial" w:hAnsi="Arial" w:cs="Arial"/>
                <w:b/>
              </w:rPr>
              <w:t>LTB</w:t>
            </w:r>
            <w:r w:rsidRPr="008B789A">
              <w:rPr>
                <w:rFonts w:ascii="Arial" w:hAnsi="Arial" w:cs="Arial"/>
                <w:b/>
                <w:vertAlign w:val="subscript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789A" w:rsidRPr="008B789A" w:rsidRDefault="008B789A">
            <w:pPr>
              <w:rPr>
                <w:rFonts w:ascii="Arial" w:hAnsi="Arial" w:cs="Arial"/>
                <w:b/>
              </w:rPr>
            </w:pPr>
            <w:r w:rsidRPr="008B789A">
              <w:rPr>
                <w:rFonts w:ascii="Arial" w:hAnsi="Arial" w:cs="Arial"/>
                <w:b/>
              </w:rPr>
              <w:t>LTE</w:t>
            </w:r>
            <w:r w:rsidRPr="008B789A">
              <w:rPr>
                <w:rFonts w:ascii="Arial" w:hAnsi="Arial" w:cs="Arial"/>
                <w:b/>
                <w:vertAlign w:val="subscript"/>
              </w:rPr>
              <w:t>4</w:t>
            </w:r>
          </w:p>
        </w:tc>
      </w:tr>
      <w:tr w:rsidR="008B789A" w:rsidRPr="008B789A" w:rsidTr="008B789A">
        <w:trPr>
          <w:trHeight w:val="340"/>
        </w:trPr>
        <w:tc>
          <w:tcPr>
            <w:tcW w:w="22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8B789A" w:rsidRPr="008B789A" w:rsidRDefault="008B7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Placebo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8B789A" w:rsidRPr="008B789A" w:rsidRDefault="008B7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0.099±0.046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8B789A" w:rsidRPr="008B789A" w:rsidRDefault="008B7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0.73±0.73</w:t>
            </w:r>
          </w:p>
        </w:tc>
      </w:tr>
      <w:tr w:rsidR="008B789A" w:rsidRPr="008B789A" w:rsidTr="008B789A">
        <w:trPr>
          <w:trHeight w:val="36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89A" w:rsidRPr="008B789A" w:rsidRDefault="008B7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Pioglitazone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89A" w:rsidRPr="008B789A" w:rsidRDefault="008B7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0.11±0.10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89A" w:rsidRPr="008B789A" w:rsidRDefault="008B7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0.32±0.34</w:t>
            </w:r>
          </w:p>
        </w:tc>
      </w:tr>
      <w:tr w:rsidR="008B789A" w:rsidRPr="008B789A" w:rsidTr="008B789A">
        <w:trPr>
          <w:trHeight w:val="360"/>
        </w:trPr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789A" w:rsidRPr="008B789A" w:rsidRDefault="008B7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Zileuton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789A" w:rsidRPr="008B789A" w:rsidRDefault="008B7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0.064±0.027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789A" w:rsidRPr="008B789A" w:rsidRDefault="008B7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0.16±0.13</w:t>
            </w:r>
          </w:p>
        </w:tc>
      </w:tr>
    </w:tbl>
    <w:p w:rsidR="00BF50CC" w:rsidRDefault="00654D06"/>
    <w:sectPr w:rsidR="00BF5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Japanese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C6"/>
    <w:rsid w:val="00201CC6"/>
    <w:rsid w:val="003D58B8"/>
    <w:rsid w:val="004F5149"/>
    <w:rsid w:val="00556A90"/>
    <w:rsid w:val="005B02A2"/>
    <w:rsid w:val="005E3481"/>
    <w:rsid w:val="00654D06"/>
    <w:rsid w:val="008B789A"/>
    <w:rsid w:val="00947059"/>
    <w:rsid w:val="009E6C3C"/>
    <w:rsid w:val="00AB78EE"/>
    <w:rsid w:val="00BB1CC6"/>
    <w:rsid w:val="00D3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CC6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7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CC6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7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Delphine Chen</dc:creator>
  <cp:lastModifiedBy>Hoelscher, Michelle</cp:lastModifiedBy>
  <cp:revision>2</cp:revision>
  <dcterms:created xsi:type="dcterms:W3CDTF">2018-01-18T17:58:00Z</dcterms:created>
  <dcterms:modified xsi:type="dcterms:W3CDTF">2018-01-18T17:58:00Z</dcterms:modified>
</cp:coreProperties>
</file>