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9BCA7" w14:textId="4DC885D3" w:rsidR="001C117F" w:rsidRPr="00ED3B7B" w:rsidRDefault="00ED3B7B">
      <w:pPr>
        <w:rPr>
          <w:b/>
          <w:sz w:val="24"/>
          <w:szCs w:val="24"/>
        </w:rPr>
      </w:pPr>
      <w:r>
        <w:rPr>
          <w:b/>
        </w:rPr>
        <w:t xml:space="preserve">      </w:t>
      </w:r>
      <w:r w:rsidRPr="00ED3B7B">
        <w:rPr>
          <w:b/>
          <w:sz w:val="24"/>
          <w:szCs w:val="24"/>
        </w:rPr>
        <w:t xml:space="preserve">  </w:t>
      </w:r>
      <w:r w:rsidR="002532A1">
        <w:rPr>
          <w:b/>
          <w:sz w:val="24"/>
          <w:szCs w:val="24"/>
        </w:rPr>
        <w:t>S3</w:t>
      </w:r>
      <w:r w:rsidR="00D50500" w:rsidRPr="00ED3B7B">
        <w:rPr>
          <w:b/>
          <w:sz w:val="24"/>
          <w:szCs w:val="24"/>
        </w:rPr>
        <w:t xml:space="preserve"> Appendix. Brief clinical summaries of serious adverse events r</w:t>
      </w:r>
      <w:r w:rsidR="008614F6" w:rsidRPr="00ED3B7B">
        <w:rPr>
          <w:b/>
          <w:sz w:val="24"/>
          <w:szCs w:val="24"/>
        </w:rPr>
        <w:t xml:space="preserve">eported </w:t>
      </w:r>
      <w:r w:rsidR="00D50500" w:rsidRPr="00ED3B7B">
        <w:rPr>
          <w:b/>
          <w:sz w:val="24"/>
          <w:szCs w:val="24"/>
        </w:rPr>
        <w:t>after treatment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620"/>
        <w:gridCol w:w="630"/>
        <w:gridCol w:w="1800"/>
        <w:gridCol w:w="2988"/>
      </w:tblGrid>
      <w:tr w:rsidR="00EB32DD" w14:paraId="163AC4F2" w14:textId="77777777" w:rsidTr="00314942">
        <w:tc>
          <w:tcPr>
            <w:tcW w:w="1728" w:type="dxa"/>
          </w:tcPr>
          <w:p w14:paraId="7A973E57" w14:textId="77777777" w:rsidR="00314942" w:rsidRDefault="00314942" w:rsidP="00314942">
            <w:pPr>
              <w:jc w:val="right"/>
              <w:rPr>
                <w:b/>
              </w:rPr>
            </w:pPr>
            <w:r>
              <w:rPr>
                <w:b/>
              </w:rPr>
              <w:t>SAE number 1</w:t>
            </w:r>
          </w:p>
          <w:p w14:paraId="173F8120" w14:textId="77777777" w:rsidR="00EB32DD" w:rsidRPr="00314942" w:rsidRDefault="00EB32DD" w:rsidP="00FA2303">
            <w:pPr>
              <w:jc w:val="right"/>
              <w:rPr>
                <w:b/>
              </w:rPr>
            </w:pPr>
            <w:r w:rsidRPr="0017605A">
              <w:rPr>
                <w:b/>
              </w:rPr>
              <w:t>SAE Term</w:t>
            </w:r>
            <w:r>
              <w:t xml:space="preserve">: </w:t>
            </w:r>
          </w:p>
        </w:tc>
        <w:tc>
          <w:tcPr>
            <w:tcW w:w="7038" w:type="dxa"/>
            <w:gridSpan w:val="4"/>
          </w:tcPr>
          <w:p w14:paraId="7A49634A" w14:textId="77777777" w:rsidR="00FA2303" w:rsidRDefault="00FA2303"/>
          <w:p w14:paraId="6C7316B3" w14:textId="77777777" w:rsidR="00EB32DD" w:rsidRDefault="00EB32DD">
            <w:r>
              <w:t>High Blood Pressure, Urinary tract infection and anemia</w:t>
            </w:r>
          </w:p>
        </w:tc>
      </w:tr>
      <w:tr w:rsidR="00682BC5" w14:paraId="41CD7264" w14:textId="77777777" w:rsidTr="00314942">
        <w:tc>
          <w:tcPr>
            <w:tcW w:w="1728" w:type="dxa"/>
          </w:tcPr>
          <w:p w14:paraId="67A22B63" w14:textId="77777777" w:rsidR="00682BC5" w:rsidRPr="00EB32DD" w:rsidRDefault="00682BC5" w:rsidP="00EB32DD">
            <w:pPr>
              <w:jc w:val="right"/>
              <w:rPr>
                <w:b/>
              </w:rPr>
            </w:pPr>
            <w:r>
              <w:rPr>
                <w:b/>
              </w:rPr>
              <w:t>CTCAE Grade:</w:t>
            </w:r>
          </w:p>
        </w:tc>
        <w:tc>
          <w:tcPr>
            <w:tcW w:w="7038" w:type="dxa"/>
            <w:gridSpan w:val="4"/>
          </w:tcPr>
          <w:p w14:paraId="53676D00" w14:textId="36C51D37" w:rsidR="00682BC5" w:rsidRDefault="002D55E0" w:rsidP="0017605A">
            <w:r>
              <w:t>3</w:t>
            </w:r>
          </w:p>
        </w:tc>
      </w:tr>
      <w:tr w:rsidR="00EB32DD" w14:paraId="48539095" w14:textId="77777777" w:rsidTr="00314942">
        <w:tc>
          <w:tcPr>
            <w:tcW w:w="1728" w:type="dxa"/>
          </w:tcPr>
          <w:p w14:paraId="01AA348F" w14:textId="77777777" w:rsidR="00EB32DD" w:rsidRPr="0017605A" w:rsidRDefault="00EB32DD" w:rsidP="00EB32DD">
            <w:pPr>
              <w:jc w:val="right"/>
              <w:rPr>
                <w:b/>
              </w:rPr>
            </w:pPr>
            <w:r w:rsidRPr="00EB32DD">
              <w:rPr>
                <w:b/>
              </w:rPr>
              <w:t>Serious Criteria</w:t>
            </w:r>
            <w:r>
              <w:t xml:space="preserve">: </w:t>
            </w:r>
          </w:p>
        </w:tc>
        <w:tc>
          <w:tcPr>
            <w:tcW w:w="7038" w:type="dxa"/>
            <w:gridSpan w:val="4"/>
          </w:tcPr>
          <w:p w14:paraId="79AEF756" w14:textId="77777777" w:rsidR="00EB32DD" w:rsidRPr="0017605A" w:rsidRDefault="00EB32DD" w:rsidP="008B6CB5">
            <w:pPr>
              <w:rPr>
                <w:b/>
              </w:rPr>
            </w:pPr>
            <w:r>
              <w:t>In</w:t>
            </w:r>
            <w:r w:rsidR="008B6CB5">
              <w:t>patient</w:t>
            </w:r>
            <w:r>
              <w:t xml:space="preserve"> or Prolonged Hospitalization</w:t>
            </w:r>
          </w:p>
        </w:tc>
      </w:tr>
      <w:tr w:rsidR="00EB32DD" w14:paraId="097891AE" w14:textId="77777777" w:rsidTr="00314942">
        <w:tc>
          <w:tcPr>
            <w:tcW w:w="1728" w:type="dxa"/>
          </w:tcPr>
          <w:p w14:paraId="48DE908D" w14:textId="77777777" w:rsidR="00EB32DD" w:rsidRDefault="00EB32DD" w:rsidP="00EB32DD">
            <w:pPr>
              <w:jc w:val="right"/>
            </w:pPr>
            <w:r w:rsidRPr="0017605A">
              <w:rPr>
                <w:b/>
              </w:rPr>
              <w:t>Treatment Arm</w:t>
            </w:r>
            <w:r>
              <w:t xml:space="preserve">: </w:t>
            </w:r>
          </w:p>
        </w:tc>
        <w:tc>
          <w:tcPr>
            <w:tcW w:w="2250" w:type="dxa"/>
            <w:gridSpan w:val="2"/>
          </w:tcPr>
          <w:p w14:paraId="1D5C44B2" w14:textId="77777777" w:rsidR="00EB32DD" w:rsidRDefault="00EB32DD" w:rsidP="0017605A">
            <w:r>
              <w:t>DEC+ALB</w:t>
            </w:r>
          </w:p>
        </w:tc>
        <w:tc>
          <w:tcPr>
            <w:tcW w:w="1800" w:type="dxa"/>
          </w:tcPr>
          <w:p w14:paraId="77C42179" w14:textId="77777777" w:rsidR="00EB32DD" w:rsidRDefault="00EB32DD" w:rsidP="00EB32DD">
            <w:pPr>
              <w:jc w:val="right"/>
            </w:pPr>
            <w:r w:rsidRPr="0017605A">
              <w:rPr>
                <w:b/>
              </w:rPr>
              <w:t>Treatment Date</w:t>
            </w:r>
            <w:r>
              <w:t xml:space="preserve">: </w:t>
            </w:r>
          </w:p>
        </w:tc>
        <w:tc>
          <w:tcPr>
            <w:tcW w:w="2988" w:type="dxa"/>
          </w:tcPr>
          <w:p w14:paraId="3A4523BB" w14:textId="77777777" w:rsidR="00EB32DD" w:rsidRDefault="00EB32DD" w:rsidP="0017605A">
            <w:r>
              <w:t>Nov 28, 2016</w:t>
            </w:r>
          </w:p>
        </w:tc>
      </w:tr>
      <w:tr w:rsidR="00EB32DD" w14:paraId="683F8FC1" w14:textId="77777777" w:rsidTr="00314942">
        <w:tc>
          <w:tcPr>
            <w:tcW w:w="3348" w:type="dxa"/>
            <w:gridSpan w:val="2"/>
          </w:tcPr>
          <w:p w14:paraId="71798465" w14:textId="77777777" w:rsidR="00EB32DD" w:rsidRPr="0017605A" w:rsidRDefault="00EB32DD" w:rsidP="00EB32DD">
            <w:pPr>
              <w:jc w:val="right"/>
              <w:rPr>
                <w:b/>
              </w:rPr>
            </w:pPr>
            <w:r w:rsidRPr="00EB32DD">
              <w:rPr>
                <w:b/>
              </w:rPr>
              <w:t>Relationship of SAE to Treatment</w:t>
            </w:r>
            <w:r>
              <w:t xml:space="preserve">: </w:t>
            </w:r>
          </w:p>
        </w:tc>
        <w:tc>
          <w:tcPr>
            <w:tcW w:w="5418" w:type="dxa"/>
            <w:gridSpan w:val="3"/>
          </w:tcPr>
          <w:p w14:paraId="5DD8FBC5" w14:textId="77777777" w:rsidR="00EB32DD" w:rsidRPr="0017605A" w:rsidRDefault="00EB32DD" w:rsidP="0017605A">
            <w:pPr>
              <w:rPr>
                <w:b/>
              </w:rPr>
            </w:pPr>
            <w:r>
              <w:t>Possibly Related</w:t>
            </w:r>
          </w:p>
        </w:tc>
      </w:tr>
      <w:tr w:rsidR="00EB32DD" w14:paraId="56A7DF9A" w14:textId="77777777" w:rsidTr="00314942">
        <w:tc>
          <w:tcPr>
            <w:tcW w:w="1728" w:type="dxa"/>
          </w:tcPr>
          <w:p w14:paraId="697ABB1F" w14:textId="77777777" w:rsidR="00EB32DD" w:rsidRDefault="00EB32DD" w:rsidP="00EB32DD">
            <w:pPr>
              <w:jc w:val="right"/>
            </w:pPr>
            <w:r w:rsidRPr="00EB32DD">
              <w:rPr>
                <w:b/>
              </w:rPr>
              <w:t>SAE Start Date</w:t>
            </w:r>
            <w:r>
              <w:t xml:space="preserve">: </w:t>
            </w:r>
          </w:p>
        </w:tc>
        <w:tc>
          <w:tcPr>
            <w:tcW w:w="2250" w:type="dxa"/>
            <w:gridSpan w:val="2"/>
          </w:tcPr>
          <w:p w14:paraId="24699690" w14:textId="77777777" w:rsidR="00EB32DD" w:rsidRDefault="00EB32DD" w:rsidP="00EB32DD">
            <w:r>
              <w:t>Dec 01, 2016</w:t>
            </w:r>
          </w:p>
        </w:tc>
        <w:tc>
          <w:tcPr>
            <w:tcW w:w="1800" w:type="dxa"/>
          </w:tcPr>
          <w:p w14:paraId="01C1E749" w14:textId="77777777" w:rsidR="00EB32DD" w:rsidRPr="0017605A" w:rsidRDefault="00EB32DD" w:rsidP="00EB32DD">
            <w:pPr>
              <w:jc w:val="right"/>
              <w:rPr>
                <w:b/>
              </w:rPr>
            </w:pPr>
            <w:r w:rsidRPr="00EB32DD">
              <w:rPr>
                <w:b/>
              </w:rPr>
              <w:t>SAE End Date</w:t>
            </w:r>
            <w:r>
              <w:t xml:space="preserve">: </w:t>
            </w:r>
          </w:p>
        </w:tc>
        <w:tc>
          <w:tcPr>
            <w:tcW w:w="2988" w:type="dxa"/>
          </w:tcPr>
          <w:p w14:paraId="06D28E40" w14:textId="77777777" w:rsidR="00EB32DD" w:rsidRPr="0017605A" w:rsidRDefault="00EB32DD" w:rsidP="00EB32DD">
            <w:pPr>
              <w:rPr>
                <w:b/>
              </w:rPr>
            </w:pPr>
            <w:r>
              <w:t>Dec 02, 2016</w:t>
            </w:r>
          </w:p>
        </w:tc>
      </w:tr>
      <w:tr w:rsidR="00EB32DD" w14:paraId="1F825771" w14:textId="77777777" w:rsidTr="00314942">
        <w:tc>
          <w:tcPr>
            <w:tcW w:w="1728" w:type="dxa"/>
          </w:tcPr>
          <w:p w14:paraId="013A0A2E" w14:textId="77777777" w:rsidR="00EB32DD" w:rsidRPr="00EB32DD" w:rsidRDefault="00EB32DD" w:rsidP="00EB32DD">
            <w:pPr>
              <w:jc w:val="right"/>
              <w:rPr>
                <w:b/>
              </w:rPr>
            </w:pPr>
            <w:r w:rsidRPr="00EB32DD">
              <w:rPr>
                <w:b/>
              </w:rPr>
              <w:t>SAE Outcome</w:t>
            </w:r>
            <w:r>
              <w:t xml:space="preserve">: </w:t>
            </w:r>
          </w:p>
        </w:tc>
        <w:tc>
          <w:tcPr>
            <w:tcW w:w="7038" w:type="dxa"/>
            <w:gridSpan w:val="4"/>
          </w:tcPr>
          <w:p w14:paraId="2AA538D7" w14:textId="77777777" w:rsidR="00EB32DD" w:rsidRPr="00EB32DD" w:rsidRDefault="00EB32DD" w:rsidP="00EB32DD">
            <w:pPr>
              <w:rPr>
                <w:b/>
              </w:rPr>
            </w:pPr>
            <w:r>
              <w:t>Recovered/Resolved</w:t>
            </w:r>
          </w:p>
        </w:tc>
      </w:tr>
      <w:tr w:rsidR="00682BC5" w14:paraId="2B05226D" w14:textId="77777777" w:rsidTr="00314942">
        <w:tc>
          <w:tcPr>
            <w:tcW w:w="1728" w:type="dxa"/>
          </w:tcPr>
          <w:p w14:paraId="66614607" w14:textId="77777777" w:rsidR="00682BC5" w:rsidRPr="00EB32DD" w:rsidRDefault="00682BC5" w:rsidP="00EB32DD">
            <w:pPr>
              <w:jc w:val="right"/>
              <w:rPr>
                <w:b/>
              </w:rPr>
            </w:pPr>
            <w:r>
              <w:rPr>
                <w:b/>
              </w:rPr>
              <w:t>Sex</w:t>
            </w:r>
            <w:r>
              <w:t>:</w:t>
            </w:r>
          </w:p>
        </w:tc>
        <w:tc>
          <w:tcPr>
            <w:tcW w:w="2250" w:type="dxa"/>
            <w:gridSpan w:val="2"/>
          </w:tcPr>
          <w:p w14:paraId="3CC87709" w14:textId="77777777" w:rsidR="00682BC5" w:rsidRDefault="001B3EF4" w:rsidP="00EB32DD">
            <w:r>
              <w:t>Male</w:t>
            </w:r>
          </w:p>
        </w:tc>
        <w:tc>
          <w:tcPr>
            <w:tcW w:w="1800" w:type="dxa"/>
          </w:tcPr>
          <w:p w14:paraId="718B796C" w14:textId="77777777" w:rsidR="00682BC5" w:rsidRDefault="00682BC5" w:rsidP="00682BC5">
            <w:pPr>
              <w:jc w:val="right"/>
            </w:pPr>
            <w:r>
              <w:rPr>
                <w:b/>
              </w:rPr>
              <w:t>Age</w:t>
            </w:r>
            <w:r>
              <w:t>:</w:t>
            </w:r>
          </w:p>
        </w:tc>
        <w:tc>
          <w:tcPr>
            <w:tcW w:w="2988" w:type="dxa"/>
          </w:tcPr>
          <w:p w14:paraId="0EBE0652" w14:textId="77777777" w:rsidR="00682BC5" w:rsidRDefault="001B3EF4" w:rsidP="00EB32DD">
            <w:r>
              <w:t>78</w:t>
            </w:r>
          </w:p>
        </w:tc>
        <w:bookmarkStart w:id="0" w:name="_GoBack"/>
        <w:bookmarkEnd w:id="0"/>
      </w:tr>
      <w:tr w:rsidR="00EB32DD" w14:paraId="048B3FDE" w14:textId="77777777" w:rsidTr="00314942">
        <w:trPr>
          <w:trHeight w:val="4662"/>
        </w:trPr>
        <w:tc>
          <w:tcPr>
            <w:tcW w:w="1728" w:type="dxa"/>
          </w:tcPr>
          <w:p w14:paraId="7F0670A2" w14:textId="77777777" w:rsidR="00EB32DD" w:rsidRPr="00EB32DD" w:rsidRDefault="00682BC5" w:rsidP="00EB32DD">
            <w:pPr>
              <w:jc w:val="right"/>
              <w:rPr>
                <w:b/>
              </w:rPr>
            </w:pPr>
            <w:r>
              <w:rPr>
                <w:b/>
              </w:rPr>
              <w:t>Description</w:t>
            </w:r>
            <w:r w:rsidR="00EB32DD">
              <w:rPr>
                <w:b/>
              </w:rPr>
              <w:t>:</w:t>
            </w:r>
          </w:p>
        </w:tc>
        <w:tc>
          <w:tcPr>
            <w:tcW w:w="7038" w:type="dxa"/>
            <w:gridSpan w:val="4"/>
          </w:tcPr>
          <w:p w14:paraId="351BEA2B" w14:textId="77777777" w:rsidR="00EB32DD" w:rsidRDefault="00EB32DD" w:rsidP="00EB32DD">
            <w:pPr>
              <w:rPr>
                <w:rFonts w:ascii="Arial" w:hAnsi="Arial" w:cs="Arial"/>
              </w:rPr>
            </w:pPr>
            <w:r>
              <w:rPr>
                <w:rFonts w:ascii="Arial" w:hAnsi="Arial" w:cs="Arial"/>
              </w:rPr>
              <w:t>On December 1, 2016 a participant enrolled in the two-drug arm of the study in Haiti was hospitalized for fever, altered mental status (severe), high blood pressure, and a urinary tract infection 3 days after taking the study medication. The participant was admitted overnight and treated for a suspected urinary tract infection, high blood pressure, and anemia. D</w:t>
            </w:r>
            <w:r w:rsidRPr="003B307F">
              <w:rPr>
                <w:rFonts w:ascii="Arial" w:hAnsi="Arial" w:cs="Arial"/>
              </w:rPr>
              <w:t>uring his hospitalization</w:t>
            </w:r>
            <w:r w:rsidR="001732CB">
              <w:rPr>
                <w:rFonts w:ascii="Arial" w:hAnsi="Arial" w:cs="Arial"/>
              </w:rPr>
              <w:t>,</w:t>
            </w:r>
            <w:r w:rsidRPr="003B307F">
              <w:rPr>
                <w:rFonts w:ascii="Arial" w:hAnsi="Arial" w:cs="Arial"/>
              </w:rPr>
              <w:t xml:space="preserve"> </w:t>
            </w:r>
            <w:r>
              <w:rPr>
                <w:rFonts w:ascii="Arial" w:hAnsi="Arial" w:cs="Arial"/>
              </w:rPr>
              <w:t>the participant</w:t>
            </w:r>
            <w:r w:rsidRPr="003B307F">
              <w:rPr>
                <w:rFonts w:ascii="Arial" w:hAnsi="Arial" w:cs="Arial"/>
              </w:rPr>
              <w:t xml:space="preserve"> received Dipyrone (1000 mg), and Diazepam (one 25mg dose for agitation).</w:t>
            </w:r>
            <w:r>
              <w:rPr>
                <w:rFonts w:ascii="Arial" w:hAnsi="Arial" w:cs="Arial"/>
              </w:rPr>
              <w:t xml:space="preserve"> </w:t>
            </w:r>
            <w:r w:rsidR="00DD2711">
              <w:rPr>
                <w:rFonts w:ascii="Arial" w:hAnsi="Arial" w:cs="Arial"/>
              </w:rPr>
              <w:t>The participant</w:t>
            </w:r>
            <w:r>
              <w:rPr>
                <w:rFonts w:ascii="Arial" w:hAnsi="Arial" w:cs="Arial"/>
              </w:rPr>
              <w:t xml:space="preserve"> was discharged the </w:t>
            </w:r>
            <w:r w:rsidR="00DD2711">
              <w:rPr>
                <w:rFonts w:ascii="Arial" w:hAnsi="Arial" w:cs="Arial"/>
              </w:rPr>
              <w:t>day after admission</w:t>
            </w:r>
            <w:r>
              <w:rPr>
                <w:rFonts w:ascii="Arial" w:hAnsi="Arial" w:cs="Arial"/>
              </w:rPr>
              <w:t xml:space="preserve">. </w:t>
            </w:r>
            <w:r w:rsidR="00DD2711">
              <w:rPr>
                <w:rFonts w:ascii="Arial" w:hAnsi="Arial" w:cs="Arial"/>
              </w:rPr>
              <w:t xml:space="preserve">Discharge medications included </w:t>
            </w:r>
            <w:proofErr w:type="spellStart"/>
            <w:r w:rsidR="00DD2711">
              <w:rPr>
                <w:rFonts w:ascii="Arial" w:hAnsi="Arial" w:cs="Arial"/>
              </w:rPr>
              <w:t>e</w:t>
            </w:r>
            <w:r w:rsidRPr="003B307F">
              <w:rPr>
                <w:rFonts w:ascii="Arial" w:hAnsi="Arial" w:cs="Arial"/>
              </w:rPr>
              <w:t>nalapril</w:t>
            </w:r>
            <w:proofErr w:type="spellEnd"/>
            <w:r w:rsidRPr="003B307F">
              <w:rPr>
                <w:rFonts w:ascii="Arial" w:hAnsi="Arial" w:cs="Arial"/>
              </w:rPr>
              <w:t xml:space="preserve"> (10mg daily), ciprofloxacin (500 mg twice per day for 10 days), ferrous sulfate, and vitamin C. The participant was well oriented when he left the hospital.</w:t>
            </w:r>
            <w:r>
              <w:rPr>
                <w:rFonts w:ascii="Arial" w:hAnsi="Arial" w:cs="Arial"/>
              </w:rPr>
              <w:t xml:space="preserve"> </w:t>
            </w:r>
          </w:p>
          <w:p w14:paraId="0AF33C15" w14:textId="518A02CF" w:rsidR="00EB32DD" w:rsidRDefault="00386C6A" w:rsidP="00EB32DD">
            <w:pPr>
              <w:rPr>
                <w:rFonts w:ascii="Arial" w:hAnsi="Arial" w:cs="Arial"/>
              </w:rPr>
            </w:pPr>
            <w:r>
              <w:rPr>
                <w:rFonts w:ascii="Arial" w:hAnsi="Arial" w:cs="Arial"/>
              </w:rPr>
              <w:t xml:space="preserve">A </w:t>
            </w:r>
            <w:r w:rsidR="00EB32DD">
              <w:rPr>
                <w:rFonts w:ascii="Arial" w:hAnsi="Arial" w:cs="Arial"/>
              </w:rPr>
              <w:t xml:space="preserve">urine culture was not </w:t>
            </w:r>
            <w:r w:rsidR="00DD2711">
              <w:rPr>
                <w:rFonts w:ascii="Arial" w:hAnsi="Arial" w:cs="Arial"/>
              </w:rPr>
              <w:t>performed</w:t>
            </w:r>
            <w:r>
              <w:rPr>
                <w:rFonts w:ascii="Arial" w:hAnsi="Arial" w:cs="Arial"/>
              </w:rPr>
              <w:t xml:space="preserve"> because of incontinence</w:t>
            </w:r>
            <w:r w:rsidR="00EB32DD">
              <w:rPr>
                <w:rFonts w:ascii="Arial" w:hAnsi="Arial" w:cs="Arial"/>
              </w:rPr>
              <w:t xml:space="preserve">. The study’s medical monitors suggested that the event be labeled </w:t>
            </w:r>
            <w:r w:rsidR="00DD2711">
              <w:rPr>
                <w:rFonts w:ascii="Arial" w:hAnsi="Arial" w:cs="Arial"/>
              </w:rPr>
              <w:t>“</w:t>
            </w:r>
            <w:r w:rsidR="00EB32DD">
              <w:rPr>
                <w:rFonts w:ascii="Arial" w:hAnsi="Arial" w:cs="Arial"/>
              </w:rPr>
              <w:t xml:space="preserve">possibly </w:t>
            </w:r>
            <w:r w:rsidR="001732CB">
              <w:rPr>
                <w:rFonts w:ascii="Arial" w:hAnsi="Arial" w:cs="Arial"/>
              </w:rPr>
              <w:t>related”</w:t>
            </w:r>
            <w:r w:rsidR="00EB32DD">
              <w:rPr>
                <w:rFonts w:ascii="Arial" w:hAnsi="Arial" w:cs="Arial"/>
              </w:rPr>
              <w:t xml:space="preserve"> to the study drug. </w:t>
            </w:r>
          </w:p>
          <w:p w14:paraId="3054978B" w14:textId="77777777" w:rsidR="00EB32DD" w:rsidRDefault="00EB32DD" w:rsidP="00EB32DD">
            <w:pPr>
              <w:rPr>
                <w:rFonts w:ascii="Arial" w:hAnsi="Arial" w:cs="Arial"/>
              </w:rPr>
            </w:pPr>
            <w:r w:rsidRPr="003B307F">
              <w:rPr>
                <w:rFonts w:ascii="Arial" w:hAnsi="Arial" w:cs="Arial"/>
              </w:rPr>
              <w:t>During follow-up at home</w:t>
            </w:r>
            <w:r>
              <w:rPr>
                <w:rFonts w:ascii="Arial" w:hAnsi="Arial" w:cs="Arial"/>
              </w:rPr>
              <w:t xml:space="preserve"> on Dec 07, 2016</w:t>
            </w:r>
            <w:r w:rsidR="000D6A1A">
              <w:rPr>
                <w:rFonts w:ascii="Arial" w:hAnsi="Arial" w:cs="Arial"/>
              </w:rPr>
              <w:t xml:space="preserve"> the </w:t>
            </w:r>
            <w:r w:rsidR="006F14A0">
              <w:rPr>
                <w:rFonts w:ascii="Arial" w:hAnsi="Arial" w:cs="Arial"/>
              </w:rPr>
              <w:t>participant</w:t>
            </w:r>
            <w:r w:rsidR="000D6A1A">
              <w:rPr>
                <w:rFonts w:ascii="Arial" w:hAnsi="Arial" w:cs="Arial"/>
              </w:rPr>
              <w:t xml:space="preserve"> was well </w:t>
            </w:r>
            <w:r w:rsidRPr="003B307F">
              <w:rPr>
                <w:rFonts w:ascii="Arial" w:hAnsi="Arial" w:cs="Arial"/>
              </w:rPr>
              <w:t xml:space="preserve">oriented with </w:t>
            </w:r>
            <w:r>
              <w:rPr>
                <w:rFonts w:ascii="Arial" w:hAnsi="Arial" w:cs="Arial"/>
              </w:rPr>
              <w:t>normal</w:t>
            </w:r>
            <w:r w:rsidRPr="003B307F">
              <w:rPr>
                <w:rFonts w:ascii="Arial" w:hAnsi="Arial" w:cs="Arial"/>
              </w:rPr>
              <w:t xml:space="preserve"> vital signs</w:t>
            </w:r>
            <w:r>
              <w:rPr>
                <w:rFonts w:ascii="Arial" w:hAnsi="Arial" w:cs="Arial"/>
              </w:rPr>
              <w:t>.</w:t>
            </w:r>
            <w:r w:rsidR="00A53C22">
              <w:rPr>
                <w:rFonts w:ascii="Arial" w:hAnsi="Arial" w:cs="Arial"/>
              </w:rPr>
              <w:t xml:space="preserve"> </w:t>
            </w:r>
          </w:p>
          <w:p w14:paraId="384685E4" w14:textId="77777777" w:rsidR="00314942" w:rsidRDefault="00314942" w:rsidP="00EB32DD"/>
        </w:tc>
      </w:tr>
      <w:tr w:rsidR="000D6A1A" w14:paraId="1ACC9E53" w14:textId="77777777" w:rsidTr="00314942">
        <w:tc>
          <w:tcPr>
            <w:tcW w:w="1728" w:type="dxa"/>
          </w:tcPr>
          <w:p w14:paraId="6D1DD86D" w14:textId="77777777" w:rsidR="00314942" w:rsidRDefault="00314942" w:rsidP="00457E65">
            <w:pPr>
              <w:jc w:val="right"/>
              <w:rPr>
                <w:b/>
              </w:rPr>
            </w:pPr>
            <w:r>
              <w:rPr>
                <w:b/>
              </w:rPr>
              <w:t>SAE number 2</w:t>
            </w:r>
          </w:p>
          <w:p w14:paraId="2D04B0F4" w14:textId="77777777" w:rsidR="000D6A1A" w:rsidRDefault="000D6A1A" w:rsidP="00457E65">
            <w:pPr>
              <w:jc w:val="right"/>
            </w:pPr>
            <w:r w:rsidRPr="0017605A">
              <w:rPr>
                <w:b/>
              </w:rPr>
              <w:t>SAE Term</w:t>
            </w:r>
            <w:r>
              <w:t xml:space="preserve">: </w:t>
            </w:r>
          </w:p>
        </w:tc>
        <w:tc>
          <w:tcPr>
            <w:tcW w:w="7038" w:type="dxa"/>
            <w:gridSpan w:val="4"/>
          </w:tcPr>
          <w:p w14:paraId="28055516" w14:textId="77777777" w:rsidR="00314942" w:rsidRDefault="00314942" w:rsidP="00457E65"/>
          <w:p w14:paraId="6F9DFBAA" w14:textId="77777777" w:rsidR="000D6A1A" w:rsidRDefault="00A53C22" w:rsidP="00457E65">
            <w:r>
              <w:t>Dysuria, Nausea/vomiting, Fever</w:t>
            </w:r>
          </w:p>
        </w:tc>
      </w:tr>
      <w:tr w:rsidR="00682BC5" w14:paraId="24E0A581" w14:textId="77777777" w:rsidTr="00314942">
        <w:tc>
          <w:tcPr>
            <w:tcW w:w="1728" w:type="dxa"/>
          </w:tcPr>
          <w:p w14:paraId="36E2897B" w14:textId="77777777" w:rsidR="00682BC5" w:rsidRPr="00EB32DD" w:rsidRDefault="00682BC5" w:rsidP="00457E65">
            <w:pPr>
              <w:jc w:val="right"/>
              <w:rPr>
                <w:b/>
              </w:rPr>
            </w:pPr>
            <w:r>
              <w:rPr>
                <w:b/>
              </w:rPr>
              <w:t>CTCAE Grade:</w:t>
            </w:r>
          </w:p>
        </w:tc>
        <w:tc>
          <w:tcPr>
            <w:tcW w:w="7038" w:type="dxa"/>
            <w:gridSpan w:val="4"/>
          </w:tcPr>
          <w:p w14:paraId="2BC0F76C" w14:textId="3A0B30E4" w:rsidR="00682BC5" w:rsidRDefault="002D55E0" w:rsidP="00457E65">
            <w:r>
              <w:t>3</w:t>
            </w:r>
          </w:p>
        </w:tc>
      </w:tr>
      <w:tr w:rsidR="000D6A1A" w14:paraId="65C9153E" w14:textId="77777777" w:rsidTr="00314942">
        <w:tc>
          <w:tcPr>
            <w:tcW w:w="1728" w:type="dxa"/>
          </w:tcPr>
          <w:p w14:paraId="593A1357" w14:textId="77777777" w:rsidR="000D6A1A" w:rsidRPr="0017605A" w:rsidRDefault="000D6A1A" w:rsidP="00457E65">
            <w:pPr>
              <w:jc w:val="right"/>
              <w:rPr>
                <w:b/>
              </w:rPr>
            </w:pPr>
            <w:r w:rsidRPr="00EB32DD">
              <w:rPr>
                <w:b/>
              </w:rPr>
              <w:t>Serious Criteria</w:t>
            </w:r>
            <w:r>
              <w:t xml:space="preserve">: </w:t>
            </w:r>
          </w:p>
        </w:tc>
        <w:tc>
          <w:tcPr>
            <w:tcW w:w="7038" w:type="dxa"/>
            <w:gridSpan w:val="4"/>
          </w:tcPr>
          <w:p w14:paraId="2404C367" w14:textId="77777777" w:rsidR="000D6A1A" w:rsidRPr="0017605A" w:rsidRDefault="00A53C22" w:rsidP="008B6CB5">
            <w:pPr>
              <w:rPr>
                <w:b/>
              </w:rPr>
            </w:pPr>
            <w:r>
              <w:t>In</w:t>
            </w:r>
            <w:r w:rsidR="006F14A0">
              <w:t>pa</w:t>
            </w:r>
            <w:r w:rsidR="008B6CB5">
              <w:t xml:space="preserve">tient </w:t>
            </w:r>
            <w:r>
              <w:t>or Prolonged Hospitalization</w:t>
            </w:r>
          </w:p>
        </w:tc>
      </w:tr>
      <w:tr w:rsidR="000D6A1A" w14:paraId="44EFB2A4" w14:textId="77777777" w:rsidTr="00314942">
        <w:tc>
          <w:tcPr>
            <w:tcW w:w="1728" w:type="dxa"/>
          </w:tcPr>
          <w:p w14:paraId="6E40C8A8" w14:textId="77777777" w:rsidR="000D6A1A" w:rsidRDefault="000D6A1A" w:rsidP="00457E65">
            <w:pPr>
              <w:jc w:val="right"/>
            </w:pPr>
            <w:r w:rsidRPr="0017605A">
              <w:rPr>
                <w:b/>
              </w:rPr>
              <w:t>Treatment Arm</w:t>
            </w:r>
            <w:r>
              <w:t xml:space="preserve">: </w:t>
            </w:r>
          </w:p>
        </w:tc>
        <w:tc>
          <w:tcPr>
            <w:tcW w:w="2250" w:type="dxa"/>
            <w:gridSpan w:val="2"/>
          </w:tcPr>
          <w:p w14:paraId="465ECCC4" w14:textId="77777777" w:rsidR="000D6A1A" w:rsidRDefault="00D0635B" w:rsidP="00457E65">
            <w:r>
              <w:t>DEC+ALB</w:t>
            </w:r>
          </w:p>
        </w:tc>
        <w:tc>
          <w:tcPr>
            <w:tcW w:w="1800" w:type="dxa"/>
          </w:tcPr>
          <w:p w14:paraId="3DE25F3C" w14:textId="77777777" w:rsidR="000D6A1A" w:rsidRDefault="000D6A1A" w:rsidP="00457E65">
            <w:pPr>
              <w:jc w:val="right"/>
            </w:pPr>
            <w:r w:rsidRPr="0017605A">
              <w:rPr>
                <w:b/>
              </w:rPr>
              <w:t>Treatment Date</w:t>
            </w:r>
            <w:r>
              <w:t xml:space="preserve">: </w:t>
            </w:r>
          </w:p>
        </w:tc>
        <w:tc>
          <w:tcPr>
            <w:tcW w:w="2988" w:type="dxa"/>
          </w:tcPr>
          <w:p w14:paraId="306C4715" w14:textId="77777777" w:rsidR="000D6A1A" w:rsidRDefault="00D0635B" w:rsidP="00457E65">
            <w:r>
              <w:t>Nov 29, 2016</w:t>
            </w:r>
          </w:p>
        </w:tc>
      </w:tr>
      <w:tr w:rsidR="000D6A1A" w14:paraId="6D264F76" w14:textId="77777777" w:rsidTr="00314942">
        <w:tc>
          <w:tcPr>
            <w:tcW w:w="3348" w:type="dxa"/>
            <w:gridSpan w:val="2"/>
          </w:tcPr>
          <w:p w14:paraId="3AA51864" w14:textId="77777777" w:rsidR="000D6A1A" w:rsidRPr="0017605A" w:rsidRDefault="000D6A1A" w:rsidP="00457E65">
            <w:pPr>
              <w:jc w:val="right"/>
              <w:rPr>
                <w:b/>
              </w:rPr>
            </w:pPr>
            <w:r w:rsidRPr="00EB32DD">
              <w:rPr>
                <w:b/>
              </w:rPr>
              <w:t>Relationship of SAE to Treatment</w:t>
            </w:r>
            <w:r>
              <w:t xml:space="preserve">: </w:t>
            </w:r>
          </w:p>
        </w:tc>
        <w:tc>
          <w:tcPr>
            <w:tcW w:w="5418" w:type="dxa"/>
            <w:gridSpan w:val="3"/>
          </w:tcPr>
          <w:p w14:paraId="6AA593DC" w14:textId="77777777" w:rsidR="000D6A1A" w:rsidRPr="00D0635B" w:rsidRDefault="00D0635B" w:rsidP="00457E65">
            <w:r>
              <w:t>Possibly Related</w:t>
            </w:r>
          </w:p>
        </w:tc>
      </w:tr>
      <w:tr w:rsidR="000D6A1A" w14:paraId="35968026" w14:textId="77777777" w:rsidTr="00314942">
        <w:tc>
          <w:tcPr>
            <w:tcW w:w="1728" w:type="dxa"/>
          </w:tcPr>
          <w:p w14:paraId="71C35B53" w14:textId="77777777" w:rsidR="000D6A1A" w:rsidRDefault="000D6A1A" w:rsidP="00457E65">
            <w:pPr>
              <w:jc w:val="right"/>
            </w:pPr>
            <w:r w:rsidRPr="00EB32DD">
              <w:rPr>
                <w:b/>
              </w:rPr>
              <w:t>SAE Start Date</w:t>
            </w:r>
            <w:r>
              <w:t xml:space="preserve">: </w:t>
            </w:r>
          </w:p>
        </w:tc>
        <w:tc>
          <w:tcPr>
            <w:tcW w:w="2250" w:type="dxa"/>
            <w:gridSpan w:val="2"/>
          </w:tcPr>
          <w:p w14:paraId="6E9369EC" w14:textId="77777777" w:rsidR="000D6A1A" w:rsidRDefault="00D0635B" w:rsidP="00457E65">
            <w:r>
              <w:t>Dec 05, 2016</w:t>
            </w:r>
          </w:p>
        </w:tc>
        <w:tc>
          <w:tcPr>
            <w:tcW w:w="1800" w:type="dxa"/>
          </w:tcPr>
          <w:p w14:paraId="28537CCB" w14:textId="77777777" w:rsidR="000D6A1A" w:rsidRPr="0017605A" w:rsidRDefault="000D6A1A" w:rsidP="00457E65">
            <w:pPr>
              <w:jc w:val="right"/>
              <w:rPr>
                <w:b/>
              </w:rPr>
            </w:pPr>
            <w:r w:rsidRPr="00EB32DD">
              <w:rPr>
                <w:b/>
              </w:rPr>
              <w:t>SAE End Date</w:t>
            </w:r>
            <w:r>
              <w:t xml:space="preserve">: </w:t>
            </w:r>
          </w:p>
        </w:tc>
        <w:tc>
          <w:tcPr>
            <w:tcW w:w="2988" w:type="dxa"/>
          </w:tcPr>
          <w:p w14:paraId="25E74D8A" w14:textId="77777777" w:rsidR="000D6A1A" w:rsidRPr="00D0635B" w:rsidRDefault="00D0635B" w:rsidP="00457E65">
            <w:r>
              <w:t>Dec 06, 2016</w:t>
            </w:r>
          </w:p>
        </w:tc>
      </w:tr>
      <w:tr w:rsidR="000D6A1A" w14:paraId="4BD3D63C" w14:textId="77777777" w:rsidTr="00314942">
        <w:tc>
          <w:tcPr>
            <w:tcW w:w="1728" w:type="dxa"/>
          </w:tcPr>
          <w:p w14:paraId="69BF038D" w14:textId="77777777" w:rsidR="000D6A1A" w:rsidRPr="00EB32DD" w:rsidRDefault="000D6A1A" w:rsidP="00457E65">
            <w:pPr>
              <w:jc w:val="right"/>
              <w:rPr>
                <w:b/>
              </w:rPr>
            </w:pPr>
            <w:r w:rsidRPr="00EB32DD">
              <w:rPr>
                <w:b/>
              </w:rPr>
              <w:t>SAE Outcome</w:t>
            </w:r>
            <w:r>
              <w:t xml:space="preserve">: </w:t>
            </w:r>
          </w:p>
        </w:tc>
        <w:tc>
          <w:tcPr>
            <w:tcW w:w="7038" w:type="dxa"/>
            <w:gridSpan w:val="4"/>
          </w:tcPr>
          <w:p w14:paraId="5FF81894" w14:textId="77777777" w:rsidR="000D6A1A" w:rsidRPr="00D0635B" w:rsidRDefault="00D0635B" w:rsidP="00457E65">
            <w:r>
              <w:t>Recovered/Resolved</w:t>
            </w:r>
          </w:p>
        </w:tc>
      </w:tr>
      <w:tr w:rsidR="00682BC5" w14:paraId="10171940" w14:textId="77777777" w:rsidTr="00314942">
        <w:tc>
          <w:tcPr>
            <w:tcW w:w="1728" w:type="dxa"/>
          </w:tcPr>
          <w:p w14:paraId="18CE87ED" w14:textId="77777777" w:rsidR="00682BC5" w:rsidRPr="00EB32DD" w:rsidRDefault="00682BC5" w:rsidP="00457E65">
            <w:pPr>
              <w:jc w:val="right"/>
              <w:rPr>
                <w:b/>
              </w:rPr>
            </w:pPr>
            <w:r>
              <w:rPr>
                <w:b/>
              </w:rPr>
              <w:t>Sex</w:t>
            </w:r>
            <w:r>
              <w:t>:</w:t>
            </w:r>
          </w:p>
        </w:tc>
        <w:tc>
          <w:tcPr>
            <w:tcW w:w="2250" w:type="dxa"/>
            <w:gridSpan w:val="2"/>
          </w:tcPr>
          <w:p w14:paraId="4641578E" w14:textId="77777777" w:rsidR="00682BC5" w:rsidRDefault="001B3EF4" w:rsidP="00457E65">
            <w:r>
              <w:t>Male</w:t>
            </w:r>
          </w:p>
        </w:tc>
        <w:tc>
          <w:tcPr>
            <w:tcW w:w="1800" w:type="dxa"/>
          </w:tcPr>
          <w:p w14:paraId="53C8AEDD" w14:textId="77777777" w:rsidR="00682BC5" w:rsidRDefault="00682BC5" w:rsidP="00457E65">
            <w:pPr>
              <w:jc w:val="right"/>
            </w:pPr>
            <w:r>
              <w:rPr>
                <w:b/>
              </w:rPr>
              <w:t>Age</w:t>
            </w:r>
            <w:r>
              <w:t>:</w:t>
            </w:r>
          </w:p>
        </w:tc>
        <w:tc>
          <w:tcPr>
            <w:tcW w:w="2988" w:type="dxa"/>
          </w:tcPr>
          <w:p w14:paraId="54E92AAD" w14:textId="77777777" w:rsidR="00682BC5" w:rsidRDefault="001B3EF4" w:rsidP="00457E65">
            <w:r>
              <w:t>35</w:t>
            </w:r>
          </w:p>
        </w:tc>
      </w:tr>
      <w:tr w:rsidR="00682BC5" w14:paraId="2E7B22EF" w14:textId="77777777" w:rsidTr="00314942">
        <w:trPr>
          <w:trHeight w:val="540"/>
        </w:trPr>
        <w:tc>
          <w:tcPr>
            <w:tcW w:w="1728" w:type="dxa"/>
          </w:tcPr>
          <w:p w14:paraId="61305D07" w14:textId="77777777" w:rsidR="00682BC5" w:rsidRPr="00EB32DD" w:rsidRDefault="00682BC5" w:rsidP="00457E65">
            <w:pPr>
              <w:jc w:val="right"/>
              <w:rPr>
                <w:b/>
              </w:rPr>
            </w:pPr>
            <w:r>
              <w:rPr>
                <w:b/>
              </w:rPr>
              <w:t>Description:</w:t>
            </w:r>
          </w:p>
        </w:tc>
        <w:tc>
          <w:tcPr>
            <w:tcW w:w="7038" w:type="dxa"/>
            <w:gridSpan w:val="4"/>
          </w:tcPr>
          <w:p w14:paraId="176DB8E7" w14:textId="7E46B02A" w:rsidR="00682BC5" w:rsidRPr="00D0635B" w:rsidRDefault="00682BC5" w:rsidP="00D0635B">
            <w:pPr>
              <w:rPr>
                <w:rFonts w:ascii="Arial" w:hAnsi="Arial" w:cs="Arial"/>
              </w:rPr>
            </w:pPr>
            <w:r w:rsidRPr="00D0635B">
              <w:rPr>
                <w:rFonts w:ascii="Arial" w:hAnsi="Arial" w:cs="Arial"/>
              </w:rPr>
              <w:t xml:space="preserve">On December 5, 2016 a participant enrolled in the two-drug arm of the study in Haiti was hospitalized for dysuria, nausea/vomiting, and fever 6 days after taking the study medication. The participant also complained of </w:t>
            </w:r>
            <w:r w:rsidR="00DD2711">
              <w:rPr>
                <w:rFonts w:ascii="Arial" w:hAnsi="Arial" w:cs="Arial"/>
              </w:rPr>
              <w:t>mild</w:t>
            </w:r>
            <w:r w:rsidRPr="00D0635B">
              <w:rPr>
                <w:rFonts w:ascii="Arial" w:hAnsi="Arial" w:cs="Arial"/>
              </w:rPr>
              <w:t xml:space="preserve"> pain and swelling of the right testicle. </w:t>
            </w:r>
            <w:r w:rsidR="00DD2711">
              <w:rPr>
                <w:rFonts w:ascii="Arial" w:hAnsi="Arial" w:cs="Arial"/>
              </w:rPr>
              <w:t xml:space="preserve">The participant had a positive FTS result). </w:t>
            </w:r>
            <w:r w:rsidRPr="00D0635B">
              <w:rPr>
                <w:rFonts w:ascii="Arial" w:hAnsi="Arial" w:cs="Arial"/>
              </w:rPr>
              <w:t xml:space="preserve">The </w:t>
            </w:r>
            <w:r w:rsidR="003B50F8">
              <w:rPr>
                <w:rFonts w:ascii="Arial" w:hAnsi="Arial" w:cs="Arial"/>
              </w:rPr>
              <w:t xml:space="preserve">attending </w:t>
            </w:r>
            <w:r w:rsidRPr="00D0635B">
              <w:rPr>
                <w:rFonts w:ascii="Arial" w:hAnsi="Arial" w:cs="Arial"/>
              </w:rPr>
              <w:t xml:space="preserve">physician’s assessment was </w:t>
            </w:r>
            <w:r w:rsidR="00DD2711">
              <w:rPr>
                <w:rFonts w:ascii="Arial" w:hAnsi="Arial" w:cs="Arial"/>
              </w:rPr>
              <w:t>“</w:t>
            </w:r>
            <w:r w:rsidRPr="00D0635B">
              <w:rPr>
                <w:rFonts w:ascii="Arial" w:hAnsi="Arial" w:cs="Arial"/>
              </w:rPr>
              <w:t xml:space="preserve">possibly </w:t>
            </w:r>
            <w:r w:rsidR="00DD2711">
              <w:rPr>
                <w:rFonts w:ascii="Arial" w:hAnsi="Arial" w:cs="Arial"/>
              </w:rPr>
              <w:t>related”</w:t>
            </w:r>
            <w:r w:rsidRPr="00D0635B">
              <w:rPr>
                <w:rFonts w:ascii="Arial" w:hAnsi="Arial" w:cs="Arial"/>
              </w:rPr>
              <w:t xml:space="preserve"> to </w:t>
            </w:r>
            <w:r w:rsidR="00DD2711">
              <w:rPr>
                <w:rFonts w:ascii="Arial" w:hAnsi="Arial" w:cs="Arial"/>
              </w:rPr>
              <w:t xml:space="preserve">study drugs. </w:t>
            </w:r>
            <w:r w:rsidRPr="00D0635B">
              <w:rPr>
                <w:rFonts w:ascii="Arial" w:hAnsi="Arial" w:cs="Arial"/>
              </w:rPr>
              <w:t xml:space="preserve">Nausea/vomiting may be secondary to gastritis; Genitourinary infection – r/o </w:t>
            </w:r>
            <w:proofErr w:type="spellStart"/>
            <w:r w:rsidRPr="00D0635B">
              <w:rPr>
                <w:rFonts w:ascii="Arial" w:hAnsi="Arial" w:cs="Arial"/>
              </w:rPr>
              <w:t>orchitis</w:t>
            </w:r>
            <w:proofErr w:type="spellEnd"/>
            <w:r w:rsidRPr="00D0635B">
              <w:rPr>
                <w:rFonts w:ascii="Arial" w:hAnsi="Arial" w:cs="Arial"/>
              </w:rPr>
              <w:t>, epididymitis, STD.</w:t>
            </w:r>
          </w:p>
          <w:p w14:paraId="675B23D9" w14:textId="77777777" w:rsidR="00682BC5" w:rsidRDefault="00DD2711" w:rsidP="006F14A0">
            <w:r>
              <w:rPr>
                <w:rFonts w:ascii="Arial" w:hAnsi="Arial" w:cs="Arial"/>
              </w:rPr>
              <w:t xml:space="preserve">The </w:t>
            </w:r>
            <w:r w:rsidR="006F14A0">
              <w:rPr>
                <w:rFonts w:ascii="Arial" w:hAnsi="Arial" w:cs="Arial"/>
              </w:rPr>
              <w:t>participant</w:t>
            </w:r>
            <w:r>
              <w:rPr>
                <w:rFonts w:ascii="Arial" w:hAnsi="Arial" w:cs="Arial"/>
              </w:rPr>
              <w:t xml:space="preserve"> was treated with p</w:t>
            </w:r>
            <w:r w:rsidR="00682BC5" w:rsidRPr="00D0635B">
              <w:rPr>
                <w:rFonts w:ascii="Arial" w:hAnsi="Arial" w:cs="Arial"/>
              </w:rPr>
              <w:t xml:space="preserve">aracetamol 500 mg PO x 1 for fever, ORS rehydration. </w:t>
            </w:r>
            <w:r w:rsidR="006F14A0">
              <w:rPr>
                <w:rFonts w:ascii="Arial" w:hAnsi="Arial" w:cs="Arial"/>
              </w:rPr>
              <w:t>He was hospitalized overnight and treated with intravenous fluids, r</w:t>
            </w:r>
            <w:r w:rsidR="00682BC5" w:rsidRPr="00D0635B">
              <w:rPr>
                <w:rFonts w:ascii="Arial" w:hAnsi="Arial" w:cs="Arial"/>
              </w:rPr>
              <w:t xml:space="preserve">anitidine 50 mg IV, </w:t>
            </w:r>
            <w:r w:rsidR="006F14A0">
              <w:rPr>
                <w:rFonts w:ascii="Arial" w:hAnsi="Arial" w:cs="Arial"/>
              </w:rPr>
              <w:t xml:space="preserve">dipyrone 1000 mg IM x 1, </w:t>
            </w:r>
            <w:r w:rsidR="006F14A0">
              <w:rPr>
                <w:rFonts w:ascii="Arial" w:hAnsi="Arial" w:cs="Arial"/>
              </w:rPr>
              <w:lastRenderedPageBreak/>
              <w:t>and p</w:t>
            </w:r>
            <w:r w:rsidR="00682BC5" w:rsidRPr="00D0635B">
              <w:rPr>
                <w:rFonts w:ascii="Arial" w:hAnsi="Arial" w:cs="Arial"/>
              </w:rPr>
              <w:t>aracetamol 500 mg PO x 1. The participant had 2 episodes of vomiting in 10 hours but improved the next morning, was afebrile, tolerating POs and feeling better. He was discharged on</w:t>
            </w:r>
            <w:r w:rsidR="00682BC5">
              <w:rPr>
                <w:rFonts w:ascii="Arial" w:hAnsi="Arial" w:cs="Arial"/>
              </w:rPr>
              <w:t xml:space="preserve"> Dec 6 with prescriptions of </w:t>
            </w:r>
            <w:r w:rsidR="006F14A0">
              <w:rPr>
                <w:rFonts w:ascii="Arial" w:hAnsi="Arial" w:cs="Arial"/>
              </w:rPr>
              <w:t>a</w:t>
            </w:r>
            <w:r w:rsidR="00682BC5" w:rsidRPr="00D0635B">
              <w:rPr>
                <w:rFonts w:ascii="Arial" w:hAnsi="Arial" w:cs="Arial"/>
              </w:rPr>
              <w:t>moxicilli</w:t>
            </w:r>
            <w:r w:rsidR="006F14A0">
              <w:rPr>
                <w:rFonts w:ascii="Arial" w:hAnsi="Arial" w:cs="Arial"/>
              </w:rPr>
              <w:t>n 500 mg 2 tabs PO BID x 10 d; c</w:t>
            </w:r>
            <w:r w:rsidR="00682BC5" w:rsidRPr="00D0635B">
              <w:rPr>
                <w:rFonts w:ascii="Arial" w:hAnsi="Arial" w:cs="Arial"/>
              </w:rPr>
              <w:t>larit</w:t>
            </w:r>
            <w:r w:rsidR="006F14A0">
              <w:rPr>
                <w:rFonts w:ascii="Arial" w:hAnsi="Arial" w:cs="Arial"/>
              </w:rPr>
              <w:t>hromycin 500 mg PO BID x 10 d; o</w:t>
            </w:r>
            <w:r w:rsidR="00682BC5" w:rsidRPr="00D0635B">
              <w:rPr>
                <w:rFonts w:ascii="Arial" w:hAnsi="Arial" w:cs="Arial"/>
              </w:rPr>
              <w:t>meprazole 20 mg PO BID; Vit</w:t>
            </w:r>
            <w:r w:rsidR="006F14A0">
              <w:rPr>
                <w:rFonts w:ascii="Arial" w:hAnsi="Arial" w:cs="Arial"/>
              </w:rPr>
              <w:t xml:space="preserve">amin B Complex 2 times PO BID; </w:t>
            </w:r>
            <w:proofErr w:type="spellStart"/>
            <w:r w:rsidR="006F14A0">
              <w:rPr>
                <w:rFonts w:ascii="Arial" w:hAnsi="Arial" w:cs="Arial"/>
              </w:rPr>
              <w:t>g</w:t>
            </w:r>
            <w:r w:rsidR="00682BC5" w:rsidRPr="00D0635B">
              <w:rPr>
                <w:rFonts w:ascii="Arial" w:hAnsi="Arial" w:cs="Arial"/>
              </w:rPr>
              <w:t>astrogel</w:t>
            </w:r>
            <w:proofErr w:type="spellEnd"/>
            <w:r w:rsidR="00682BC5" w:rsidRPr="00D0635B">
              <w:rPr>
                <w:rFonts w:ascii="Arial" w:hAnsi="Arial" w:cs="Arial"/>
              </w:rPr>
              <w:t xml:space="preserve"> </w:t>
            </w:r>
            <w:proofErr w:type="spellStart"/>
            <w:r w:rsidR="00682BC5" w:rsidRPr="00D0635B">
              <w:rPr>
                <w:rFonts w:ascii="Arial" w:hAnsi="Arial" w:cs="Arial"/>
              </w:rPr>
              <w:t>susp</w:t>
            </w:r>
            <w:proofErr w:type="spellEnd"/>
            <w:r w:rsidR="00682BC5" w:rsidRPr="00D0635B">
              <w:rPr>
                <w:rFonts w:ascii="Arial" w:hAnsi="Arial" w:cs="Arial"/>
              </w:rPr>
              <w:t xml:space="preserve"> 1 cc after each meal.</w:t>
            </w:r>
            <w:r w:rsidR="00682BC5">
              <w:rPr>
                <w:rFonts w:ascii="Arial" w:hAnsi="Arial" w:cs="Arial"/>
              </w:rPr>
              <w:t xml:space="preserve"> </w:t>
            </w:r>
            <w:r w:rsidR="00682BC5" w:rsidRPr="00D0635B">
              <w:rPr>
                <w:rFonts w:ascii="Arial" w:hAnsi="Arial" w:cs="Arial"/>
              </w:rPr>
              <w:t>UA</w:t>
            </w:r>
            <w:r w:rsidR="006F14A0">
              <w:rPr>
                <w:rFonts w:ascii="Arial" w:hAnsi="Arial" w:cs="Arial"/>
              </w:rPr>
              <w:t xml:space="preserve">/microscopy showed </w:t>
            </w:r>
            <w:r w:rsidR="00682BC5" w:rsidRPr="00D0635B">
              <w:rPr>
                <w:rFonts w:ascii="Arial" w:hAnsi="Arial" w:cs="Arial"/>
              </w:rPr>
              <w:t>WBC 35-45/clumps; Bacteria</w:t>
            </w:r>
            <w:r w:rsidR="006F14A0">
              <w:rPr>
                <w:rFonts w:ascii="Arial" w:hAnsi="Arial" w:cs="Arial"/>
              </w:rPr>
              <w:t xml:space="preserve"> ++++, Gram positive diplococci</w:t>
            </w:r>
            <w:r w:rsidR="00682BC5" w:rsidRPr="00D0635B">
              <w:rPr>
                <w:rFonts w:ascii="Arial" w:hAnsi="Arial" w:cs="Arial"/>
              </w:rPr>
              <w:t>.</w:t>
            </w:r>
          </w:p>
        </w:tc>
      </w:tr>
    </w:tbl>
    <w:p w14:paraId="44F80244" w14:textId="77777777" w:rsidR="00682BC5" w:rsidRDefault="00682BC5" w:rsidP="00682BC5"/>
    <w:tbl>
      <w:tblPr>
        <w:tblStyle w:val="TableGrid"/>
        <w:tblW w:w="8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620"/>
        <w:gridCol w:w="630"/>
        <w:gridCol w:w="1800"/>
        <w:gridCol w:w="2988"/>
      </w:tblGrid>
      <w:tr w:rsidR="00682BC5" w14:paraId="116F2B46" w14:textId="77777777" w:rsidTr="00682BC5">
        <w:tc>
          <w:tcPr>
            <w:tcW w:w="1728" w:type="dxa"/>
          </w:tcPr>
          <w:p w14:paraId="797BC391" w14:textId="77777777" w:rsidR="00FA2303" w:rsidRDefault="00FA2303" w:rsidP="00457E65">
            <w:pPr>
              <w:jc w:val="right"/>
              <w:rPr>
                <w:b/>
              </w:rPr>
            </w:pPr>
            <w:r>
              <w:rPr>
                <w:b/>
              </w:rPr>
              <w:t>SAE number 3</w:t>
            </w:r>
          </w:p>
          <w:p w14:paraId="1C0A7BDA" w14:textId="77777777" w:rsidR="00682BC5" w:rsidRDefault="00682BC5" w:rsidP="00457E65">
            <w:pPr>
              <w:jc w:val="right"/>
            </w:pPr>
            <w:r w:rsidRPr="0017605A">
              <w:rPr>
                <w:b/>
              </w:rPr>
              <w:t>SAE Term</w:t>
            </w:r>
            <w:r>
              <w:t xml:space="preserve">: </w:t>
            </w:r>
          </w:p>
        </w:tc>
        <w:tc>
          <w:tcPr>
            <w:tcW w:w="7038" w:type="dxa"/>
            <w:gridSpan w:val="4"/>
          </w:tcPr>
          <w:p w14:paraId="593E1C81" w14:textId="77777777" w:rsidR="00FA2303" w:rsidRDefault="00FA2303" w:rsidP="00457E65"/>
          <w:p w14:paraId="3ED8778D" w14:textId="77777777" w:rsidR="00682BC5" w:rsidRDefault="00682BC5" w:rsidP="00457E65">
            <w:r>
              <w:t xml:space="preserve">Abdominal pain, soil-transmitted helminthiasis, </w:t>
            </w:r>
            <w:r w:rsidRPr="009A65F8">
              <w:rPr>
                <w:i/>
              </w:rPr>
              <w:t>H. pylori</w:t>
            </w:r>
            <w:r>
              <w:t xml:space="preserve"> infection</w:t>
            </w:r>
          </w:p>
        </w:tc>
      </w:tr>
      <w:tr w:rsidR="00682BC5" w14:paraId="03D8ACCB" w14:textId="77777777" w:rsidTr="00682BC5">
        <w:tc>
          <w:tcPr>
            <w:tcW w:w="1728" w:type="dxa"/>
          </w:tcPr>
          <w:p w14:paraId="70DBE81B" w14:textId="77777777" w:rsidR="00682BC5" w:rsidRPr="00EB32DD" w:rsidRDefault="00682BC5" w:rsidP="00457E65">
            <w:pPr>
              <w:jc w:val="right"/>
              <w:rPr>
                <w:b/>
              </w:rPr>
            </w:pPr>
            <w:r>
              <w:rPr>
                <w:b/>
              </w:rPr>
              <w:t>CTCAE Grade:</w:t>
            </w:r>
          </w:p>
        </w:tc>
        <w:tc>
          <w:tcPr>
            <w:tcW w:w="7038" w:type="dxa"/>
            <w:gridSpan w:val="4"/>
          </w:tcPr>
          <w:p w14:paraId="3F643F2E" w14:textId="172622AC" w:rsidR="00682BC5" w:rsidRDefault="002D55E0" w:rsidP="00457E65">
            <w:r>
              <w:t>3</w:t>
            </w:r>
          </w:p>
        </w:tc>
      </w:tr>
      <w:tr w:rsidR="00682BC5" w14:paraId="598C89C5" w14:textId="77777777" w:rsidTr="00682BC5">
        <w:tc>
          <w:tcPr>
            <w:tcW w:w="1728" w:type="dxa"/>
          </w:tcPr>
          <w:p w14:paraId="2A699C7F" w14:textId="77777777" w:rsidR="00682BC5" w:rsidRPr="0017605A" w:rsidRDefault="00682BC5" w:rsidP="00457E65">
            <w:pPr>
              <w:jc w:val="right"/>
              <w:rPr>
                <w:b/>
              </w:rPr>
            </w:pPr>
            <w:r w:rsidRPr="00EB32DD">
              <w:rPr>
                <w:b/>
              </w:rPr>
              <w:t>Serious Criteria</w:t>
            </w:r>
            <w:r>
              <w:t xml:space="preserve">: </w:t>
            </w:r>
          </w:p>
        </w:tc>
        <w:tc>
          <w:tcPr>
            <w:tcW w:w="7038" w:type="dxa"/>
            <w:gridSpan w:val="4"/>
          </w:tcPr>
          <w:p w14:paraId="30A5892E" w14:textId="77777777" w:rsidR="00682BC5" w:rsidRPr="00682BC5" w:rsidRDefault="00682BC5" w:rsidP="008B6CB5">
            <w:r>
              <w:t>In</w:t>
            </w:r>
            <w:r w:rsidR="006F14A0">
              <w:t>pa</w:t>
            </w:r>
            <w:r w:rsidR="008B6CB5">
              <w:t>tient</w:t>
            </w:r>
            <w:r>
              <w:t xml:space="preserve"> or Prolonged Hospitalization</w:t>
            </w:r>
          </w:p>
        </w:tc>
      </w:tr>
      <w:tr w:rsidR="00682BC5" w14:paraId="250AFBED" w14:textId="77777777" w:rsidTr="00682BC5">
        <w:tc>
          <w:tcPr>
            <w:tcW w:w="1728" w:type="dxa"/>
          </w:tcPr>
          <w:p w14:paraId="7F8E1F28" w14:textId="77777777" w:rsidR="00682BC5" w:rsidRDefault="00682BC5" w:rsidP="00457E65">
            <w:pPr>
              <w:jc w:val="right"/>
            </w:pPr>
            <w:r w:rsidRPr="0017605A">
              <w:rPr>
                <w:b/>
              </w:rPr>
              <w:t>Treatment Arm</w:t>
            </w:r>
            <w:r>
              <w:t xml:space="preserve">: </w:t>
            </w:r>
          </w:p>
        </w:tc>
        <w:tc>
          <w:tcPr>
            <w:tcW w:w="2250" w:type="dxa"/>
            <w:gridSpan w:val="2"/>
          </w:tcPr>
          <w:p w14:paraId="0A4E4482" w14:textId="77777777" w:rsidR="00682BC5" w:rsidRDefault="00682BC5" w:rsidP="00457E65">
            <w:r>
              <w:t>DEC+ALB</w:t>
            </w:r>
          </w:p>
        </w:tc>
        <w:tc>
          <w:tcPr>
            <w:tcW w:w="1800" w:type="dxa"/>
          </w:tcPr>
          <w:p w14:paraId="77A6F62E" w14:textId="77777777" w:rsidR="00682BC5" w:rsidRDefault="00682BC5" w:rsidP="00457E65">
            <w:pPr>
              <w:jc w:val="right"/>
            </w:pPr>
            <w:r w:rsidRPr="0017605A">
              <w:rPr>
                <w:b/>
              </w:rPr>
              <w:t>Treatment Date</w:t>
            </w:r>
            <w:r>
              <w:t xml:space="preserve">: </w:t>
            </w:r>
          </w:p>
        </w:tc>
        <w:tc>
          <w:tcPr>
            <w:tcW w:w="2988" w:type="dxa"/>
          </w:tcPr>
          <w:p w14:paraId="5B3F4370" w14:textId="77777777" w:rsidR="00682BC5" w:rsidRDefault="00682BC5" w:rsidP="00457E65">
            <w:r>
              <w:t>Dec 09, 2016</w:t>
            </w:r>
          </w:p>
        </w:tc>
      </w:tr>
      <w:tr w:rsidR="00682BC5" w14:paraId="0A2499BB" w14:textId="77777777" w:rsidTr="00682BC5">
        <w:tc>
          <w:tcPr>
            <w:tcW w:w="3348" w:type="dxa"/>
            <w:gridSpan w:val="2"/>
          </w:tcPr>
          <w:p w14:paraId="316F7D94" w14:textId="77777777" w:rsidR="00682BC5" w:rsidRPr="0017605A" w:rsidRDefault="00682BC5" w:rsidP="00457E65">
            <w:pPr>
              <w:jc w:val="right"/>
              <w:rPr>
                <w:b/>
              </w:rPr>
            </w:pPr>
            <w:r w:rsidRPr="00EB32DD">
              <w:rPr>
                <w:b/>
              </w:rPr>
              <w:t>Relationship of SAE to Treatment</w:t>
            </w:r>
            <w:r>
              <w:t xml:space="preserve">: </w:t>
            </w:r>
          </w:p>
        </w:tc>
        <w:tc>
          <w:tcPr>
            <w:tcW w:w="5418" w:type="dxa"/>
            <w:gridSpan w:val="3"/>
          </w:tcPr>
          <w:p w14:paraId="1D315F60" w14:textId="327DE9E0" w:rsidR="00682BC5" w:rsidRPr="00D0635B" w:rsidRDefault="00386C6A" w:rsidP="00457E65">
            <w:r>
              <w:t>Probably r</w:t>
            </w:r>
            <w:r w:rsidR="00682BC5">
              <w:t>elated</w:t>
            </w:r>
          </w:p>
        </w:tc>
      </w:tr>
      <w:tr w:rsidR="00682BC5" w14:paraId="210753DC" w14:textId="77777777" w:rsidTr="00682BC5">
        <w:tc>
          <w:tcPr>
            <w:tcW w:w="1728" w:type="dxa"/>
          </w:tcPr>
          <w:p w14:paraId="392A42B9" w14:textId="77777777" w:rsidR="00682BC5" w:rsidRDefault="00682BC5" w:rsidP="00457E65">
            <w:pPr>
              <w:jc w:val="right"/>
            </w:pPr>
            <w:r w:rsidRPr="00EB32DD">
              <w:rPr>
                <w:b/>
              </w:rPr>
              <w:t>SAE Start Date</w:t>
            </w:r>
            <w:r>
              <w:t xml:space="preserve">: </w:t>
            </w:r>
          </w:p>
        </w:tc>
        <w:tc>
          <w:tcPr>
            <w:tcW w:w="2250" w:type="dxa"/>
            <w:gridSpan w:val="2"/>
          </w:tcPr>
          <w:p w14:paraId="254E77FE" w14:textId="77777777" w:rsidR="00682BC5" w:rsidRDefault="00682BC5" w:rsidP="00457E65">
            <w:r>
              <w:t>Dec 10, 2016</w:t>
            </w:r>
          </w:p>
        </w:tc>
        <w:tc>
          <w:tcPr>
            <w:tcW w:w="1800" w:type="dxa"/>
          </w:tcPr>
          <w:p w14:paraId="4E5E1B5F" w14:textId="77777777" w:rsidR="00682BC5" w:rsidRPr="0017605A" w:rsidRDefault="00682BC5" w:rsidP="00457E65">
            <w:pPr>
              <w:jc w:val="right"/>
              <w:rPr>
                <w:b/>
              </w:rPr>
            </w:pPr>
            <w:r w:rsidRPr="00EB32DD">
              <w:rPr>
                <w:b/>
              </w:rPr>
              <w:t>SAE End Date</w:t>
            </w:r>
            <w:r>
              <w:t xml:space="preserve">: </w:t>
            </w:r>
          </w:p>
        </w:tc>
        <w:tc>
          <w:tcPr>
            <w:tcW w:w="2988" w:type="dxa"/>
          </w:tcPr>
          <w:p w14:paraId="0B4CEC06" w14:textId="77777777" w:rsidR="00682BC5" w:rsidRPr="00D0635B" w:rsidRDefault="00682BC5" w:rsidP="00457E65">
            <w:r>
              <w:t>Dec 11, 2016</w:t>
            </w:r>
          </w:p>
        </w:tc>
      </w:tr>
      <w:tr w:rsidR="00682BC5" w14:paraId="608DA303" w14:textId="77777777" w:rsidTr="00682BC5">
        <w:tc>
          <w:tcPr>
            <w:tcW w:w="1728" w:type="dxa"/>
          </w:tcPr>
          <w:p w14:paraId="3128E2CF" w14:textId="77777777" w:rsidR="00682BC5" w:rsidRPr="00EB32DD" w:rsidRDefault="00682BC5" w:rsidP="00457E65">
            <w:pPr>
              <w:jc w:val="right"/>
              <w:rPr>
                <w:b/>
              </w:rPr>
            </w:pPr>
            <w:r w:rsidRPr="00EB32DD">
              <w:rPr>
                <w:b/>
              </w:rPr>
              <w:t>SAE Outcome</w:t>
            </w:r>
            <w:r>
              <w:t xml:space="preserve">: </w:t>
            </w:r>
          </w:p>
        </w:tc>
        <w:tc>
          <w:tcPr>
            <w:tcW w:w="7038" w:type="dxa"/>
            <w:gridSpan w:val="4"/>
          </w:tcPr>
          <w:p w14:paraId="0891E868" w14:textId="77777777" w:rsidR="00682BC5" w:rsidRPr="00D0635B" w:rsidRDefault="00682BC5" w:rsidP="00457E65">
            <w:r>
              <w:t>Recovered/Resolved</w:t>
            </w:r>
          </w:p>
        </w:tc>
      </w:tr>
      <w:tr w:rsidR="00682BC5" w14:paraId="3A9FD7EF" w14:textId="77777777" w:rsidTr="00682BC5">
        <w:tc>
          <w:tcPr>
            <w:tcW w:w="1728" w:type="dxa"/>
          </w:tcPr>
          <w:p w14:paraId="34B3A400" w14:textId="77777777" w:rsidR="00682BC5" w:rsidRPr="00EB32DD" w:rsidRDefault="00682BC5" w:rsidP="00457E65">
            <w:pPr>
              <w:jc w:val="right"/>
              <w:rPr>
                <w:b/>
              </w:rPr>
            </w:pPr>
            <w:r>
              <w:rPr>
                <w:b/>
              </w:rPr>
              <w:t>Sex</w:t>
            </w:r>
            <w:r>
              <w:t>:</w:t>
            </w:r>
          </w:p>
        </w:tc>
        <w:tc>
          <w:tcPr>
            <w:tcW w:w="2250" w:type="dxa"/>
            <w:gridSpan w:val="2"/>
          </w:tcPr>
          <w:p w14:paraId="6AA75BC7" w14:textId="77777777" w:rsidR="00682BC5" w:rsidRDefault="00682BC5" w:rsidP="00457E65">
            <w:r>
              <w:t>Male</w:t>
            </w:r>
          </w:p>
        </w:tc>
        <w:tc>
          <w:tcPr>
            <w:tcW w:w="1800" w:type="dxa"/>
          </w:tcPr>
          <w:p w14:paraId="3178E1F2" w14:textId="77777777" w:rsidR="00682BC5" w:rsidRDefault="00682BC5" w:rsidP="00457E65">
            <w:pPr>
              <w:jc w:val="right"/>
            </w:pPr>
            <w:r>
              <w:rPr>
                <w:b/>
              </w:rPr>
              <w:t>Age</w:t>
            </w:r>
            <w:r>
              <w:t>:</w:t>
            </w:r>
          </w:p>
        </w:tc>
        <w:tc>
          <w:tcPr>
            <w:tcW w:w="2988" w:type="dxa"/>
          </w:tcPr>
          <w:p w14:paraId="0580D609" w14:textId="77777777" w:rsidR="00682BC5" w:rsidRDefault="00682BC5" w:rsidP="00457E65">
            <w:r>
              <w:t>13 years</w:t>
            </w:r>
          </w:p>
        </w:tc>
      </w:tr>
      <w:tr w:rsidR="00682BC5" w14:paraId="754FBE92" w14:textId="77777777" w:rsidTr="00682BC5">
        <w:tc>
          <w:tcPr>
            <w:tcW w:w="1728" w:type="dxa"/>
          </w:tcPr>
          <w:p w14:paraId="212BBC4D" w14:textId="77777777" w:rsidR="00682BC5" w:rsidRPr="00EB32DD" w:rsidRDefault="00682BC5" w:rsidP="00457E65">
            <w:pPr>
              <w:jc w:val="right"/>
              <w:rPr>
                <w:b/>
              </w:rPr>
            </w:pPr>
            <w:r>
              <w:rPr>
                <w:b/>
              </w:rPr>
              <w:t>Description:</w:t>
            </w:r>
          </w:p>
        </w:tc>
        <w:tc>
          <w:tcPr>
            <w:tcW w:w="7038" w:type="dxa"/>
            <w:gridSpan w:val="4"/>
          </w:tcPr>
          <w:p w14:paraId="1C6D8C3B" w14:textId="77777777" w:rsidR="00386C6A" w:rsidRPr="009A65F8" w:rsidRDefault="00682BC5" w:rsidP="00C230E8">
            <w:pPr>
              <w:rPr>
                <w:rFonts w:ascii="Arial" w:hAnsi="Arial" w:cs="Arial"/>
                <w:i/>
              </w:rPr>
            </w:pPr>
            <w:r>
              <w:rPr>
                <w:rFonts w:ascii="Arial" w:hAnsi="Arial" w:cs="Arial"/>
              </w:rPr>
              <w:t>On December 10, 2016, one day</w:t>
            </w:r>
            <w:r w:rsidR="006F14A0">
              <w:rPr>
                <w:rFonts w:ascii="Arial" w:hAnsi="Arial" w:cs="Arial"/>
              </w:rPr>
              <w:t xml:space="preserve"> after taking the study medicati</w:t>
            </w:r>
            <w:r>
              <w:rPr>
                <w:rFonts w:ascii="Arial" w:hAnsi="Arial" w:cs="Arial"/>
              </w:rPr>
              <w:t xml:space="preserve">on, a participant enrolled in the two-drug arm of the study in Haiti was hospitalized for severe abdominal pain, </w:t>
            </w:r>
            <w:r w:rsidR="006F14A0">
              <w:rPr>
                <w:rFonts w:ascii="Arial" w:hAnsi="Arial" w:cs="Arial"/>
              </w:rPr>
              <w:t>ascariasis,</w:t>
            </w:r>
            <w:r>
              <w:rPr>
                <w:rFonts w:ascii="Arial" w:hAnsi="Arial" w:cs="Arial"/>
              </w:rPr>
              <w:t xml:space="preserve"> and </w:t>
            </w:r>
            <w:r w:rsidRPr="009A65F8">
              <w:rPr>
                <w:rFonts w:ascii="Arial" w:hAnsi="Arial" w:cs="Arial"/>
                <w:i/>
              </w:rPr>
              <w:t>H</w:t>
            </w:r>
            <w:r w:rsidR="00386C6A" w:rsidRPr="009A65F8">
              <w:rPr>
                <w:rFonts w:ascii="Arial" w:hAnsi="Arial" w:cs="Arial"/>
                <w:i/>
              </w:rPr>
              <w:t xml:space="preserve">elicobacter </w:t>
            </w:r>
          </w:p>
          <w:p w14:paraId="25E38C99" w14:textId="1EB85FD4" w:rsidR="00C230E8" w:rsidRDefault="00C230E8" w:rsidP="00C230E8">
            <w:pPr>
              <w:rPr>
                <w:rFonts w:ascii="Arial" w:hAnsi="Arial" w:cs="Arial"/>
              </w:rPr>
            </w:pPr>
            <w:proofErr w:type="gramStart"/>
            <w:r w:rsidRPr="009A65F8">
              <w:rPr>
                <w:rFonts w:ascii="Arial" w:hAnsi="Arial" w:cs="Arial"/>
                <w:i/>
              </w:rPr>
              <w:t>p</w:t>
            </w:r>
            <w:r w:rsidR="00682BC5" w:rsidRPr="009A65F8">
              <w:rPr>
                <w:rFonts w:ascii="Arial" w:hAnsi="Arial" w:cs="Arial"/>
                <w:i/>
              </w:rPr>
              <w:t>ylori</w:t>
            </w:r>
            <w:proofErr w:type="gramEnd"/>
            <w:r w:rsidR="00682BC5" w:rsidRPr="009A65F8">
              <w:rPr>
                <w:rFonts w:ascii="Arial" w:hAnsi="Arial" w:cs="Arial"/>
                <w:i/>
              </w:rPr>
              <w:t xml:space="preserve"> </w:t>
            </w:r>
            <w:r w:rsidR="00682BC5">
              <w:rPr>
                <w:rFonts w:ascii="Arial" w:hAnsi="Arial" w:cs="Arial"/>
              </w:rPr>
              <w:t xml:space="preserve">infection. The </w:t>
            </w:r>
            <w:r w:rsidR="006F14A0">
              <w:rPr>
                <w:rFonts w:ascii="Arial" w:hAnsi="Arial" w:cs="Arial"/>
              </w:rPr>
              <w:t>participant</w:t>
            </w:r>
            <w:r w:rsidR="00682BC5">
              <w:rPr>
                <w:rFonts w:ascii="Arial" w:hAnsi="Arial" w:cs="Arial"/>
              </w:rPr>
              <w:t xml:space="preserve">’s mother stated that her son had passed a worm in his stools. </w:t>
            </w:r>
            <w:r w:rsidR="006F14A0">
              <w:rPr>
                <w:rFonts w:ascii="Arial" w:hAnsi="Arial" w:cs="Arial"/>
              </w:rPr>
              <w:t>Participant</w:t>
            </w:r>
            <w:r>
              <w:rPr>
                <w:rFonts w:ascii="Arial" w:hAnsi="Arial" w:cs="Arial"/>
              </w:rPr>
              <w:t xml:space="preserve"> was evaluated </w:t>
            </w:r>
            <w:r w:rsidRPr="00C230E8">
              <w:rPr>
                <w:rFonts w:ascii="Arial" w:hAnsi="Arial" w:cs="Arial"/>
              </w:rPr>
              <w:t xml:space="preserve">at his home and was found to be afebrile, but complaining of mid-epigastric and periumbilical pain (grade 3) and unable to take </w:t>
            </w:r>
            <w:proofErr w:type="spellStart"/>
            <w:r w:rsidRPr="00C230E8">
              <w:rPr>
                <w:rFonts w:ascii="Arial" w:hAnsi="Arial" w:cs="Arial"/>
              </w:rPr>
              <w:t>POs.</w:t>
            </w:r>
            <w:proofErr w:type="spellEnd"/>
            <w:r w:rsidRPr="00C230E8">
              <w:rPr>
                <w:rFonts w:ascii="Arial" w:hAnsi="Arial" w:cs="Arial"/>
              </w:rPr>
              <w:t xml:space="preserve"> </w:t>
            </w:r>
            <w:r w:rsidR="006F14A0">
              <w:rPr>
                <w:rFonts w:ascii="Arial" w:hAnsi="Arial" w:cs="Arial"/>
              </w:rPr>
              <w:t>Participant</w:t>
            </w:r>
            <w:r w:rsidRPr="00C230E8">
              <w:rPr>
                <w:rFonts w:ascii="Arial" w:hAnsi="Arial" w:cs="Arial"/>
              </w:rPr>
              <w:t xml:space="preserve"> was sent to hospital for further evaluation.</w:t>
            </w:r>
            <w:r w:rsidR="006F14A0">
              <w:rPr>
                <w:rFonts w:ascii="Arial" w:hAnsi="Arial" w:cs="Arial"/>
              </w:rPr>
              <w:t xml:space="preserve"> </w:t>
            </w:r>
            <w:r w:rsidRPr="00C230E8">
              <w:rPr>
                <w:rFonts w:ascii="Arial" w:hAnsi="Arial" w:cs="Arial"/>
              </w:rPr>
              <w:t xml:space="preserve">At the hospital </w:t>
            </w:r>
            <w:r w:rsidR="006F14A0">
              <w:rPr>
                <w:rFonts w:ascii="Arial" w:hAnsi="Arial" w:cs="Arial"/>
              </w:rPr>
              <w:t>participant</w:t>
            </w:r>
            <w:r w:rsidRPr="00C230E8">
              <w:rPr>
                <w:rFonts w:ascii="Arial" w:hAnsi="Arial" w:cs="Arial"/>
              </w:rPr>
              <w:t xml:space="preserve"> had T: 36.4 C, BP: 90/50, RR: 22, HR: 68, and complained of abdominal pain, nausea,</w:t>
            </w:r>
            <w:r w:rsidR="00692695">
              <w:rPr>
                <w:rFonts w:ascii="Arial" w:hAnsi="Arial" w:cs="Arial"/>
              </w:rPr>
              <w:t xml:space="preserve"> vomiting, weakness and myalgia</w:t>
            </w:r>
            <w:r w:rsidRPr="00C230E8">
              <w:rPr>
                <w:rFonts w:ascii="Arial" w:hAnsi="Arial" w:cs="Arial"/>
              </w:rPr>
              <w:t xml:space="preserve">. </w:t>
            </w:r>
            <w:r w:rsidR="00692695">
              <w:rPr>
                <w:rFonts w:ascii="Arial" w:hAnsi="Arial" w:cs="Arial"/>
              </w:rPr>
              <w:t>Systems review was otherwise</w:t>
            </w:r>
            <w:r w:rsidRPr="00C230E8">
              <w:rPr>
                <w:rFonts w:ascii="Arial" w:hAnsi="Arial" w:cs="Arial"/>
              </w:rPr>
              <w:t xml:space="preserve"> negative. Physical exam had tenderness to palpation in the per</w:t>
            </w:r>
            <w:r>
              <w:rPr>
                <w:rFonts w:ascii="Arial" w:hAnsi="Arial" w:cs="Arial"/>
              </w:rPr>
              <w:t>iumbilical and epigastric area</w:t>
            </w:r>
            <w:r w:rsidR="00692695">
              <w:rPr>
                <w:rFonts w:ascii="Arial" w:hAnsi="Arial" w:cs="Arial"/>
              </w:rPr>
              <w:t>s</w:t>
            </w:r>
            <w:r>
              <w:rPr>
                <w:rFonts w:ascii="Arial" w:hAnsi="Arial" w:cs="Arial"/>
              </w:rPr>
              <w:t>.</w:t>
            </w:r>
          </w:p>
          <w:p w14:paraId="25958D05" w14:textId="23F0C6FA" w:rsidR="00C230E8" w:rsidRDefault="00C230E8" w:rsidP="00386C6A">
            <w:r>
              <w:rPr>
                <w:rFonts w:ascii="Arial" w:hAnsi="Arial" w:cs="Arial"/>
              </w:rPr>
              <w:t xml:space="preserve">Lab results </w:t>
            </w:r>
            <w:r w:rsidR="00692695">
              <w:rPr>
                <w:rFonts w:ascii="Arial" w:hAnsi="Arial" w:cs="Arial"/>
              </w:rPr>
              <w:t xml:space="preserve">included a positive test for antibodies to </w:t>
            </w:r>
            <w:r w:rsidR="00692695" w:rsidRPr="009A65F8">
              <w:rPr>
                <w:rFonts w:ascii="Arial" w:hAnsi="Arial" w:cs="Arial"/>
                <w:i/>
              </w:rPr>
              <w:t>Helicobacter pylori</w:t>
            </w:r>
            <w:r w:rsidRPr="009A65F8">
              <w:rPr>
                <w:rFonts w:ascii="Arial" w:hAnsi="Arial" w:cs="Arial"/>
                <w:i/>
              </w:rPr>
              <w:t>.</w:t>
            </w:r>
            <w:r>
              <w:rPr>
                <w:rFonts w:ascii="Arial" w:hAnsi="Arial" w:cs="Arial"/>
              </w:rPr>
              <w:t xml:space="preserve"> Hospital treatment included </w:t>
            </w:r>
            <w:r w:rsidR="00692695">
              <w:rPr>
                <w:rFonts w:ascii="Arial" w:hAnsi="Arial" w:cs="Arial"/>
              </w:rPr>
              <w:t>intravenous fluids, s</w:t>
            </w:r>
            <w:r w:rsidRPr="00C230E8">
              <w:rPr>
                <w:rFonts w:ascii="Arial" w:hAnsi="Arial" w:cs="Arial"/>
              </w:rPr>
              <w:t>copolamine 10 mg PO BID</w:t>
            </w:r>
            <w:r>
              <w:rPr>
                <w:rFonts w:ascii="Arial" w:hAnsi="Arial" w:cs="Arial"/>
              </w:rPr>
              <w:t xml:space="preserve">; and </w:t>
            </w:r>
            <w:r w:rsidR="00692695">
              <w:rPr>
                <w:rFonts w:ascii="Arial" w:hAnsi="Arial" w:cs="Arial"/>
              </w:rPr>
              <w:t>d</w:t>
            </w:r>
            <w:r w:rsidRPr="00C230E8">
              <w:rPr>
                <w:rFonts w:ascii="Arial" w:hAnsi="Arial" w:cs="Arial"/>
              </w:rPr>
              <w:t>iclofenac 10 mg IV or IM q 8h</w:t>
            </w:r>
            <w:r>
              <w:rPr>
                <w:rFonts w:ascii="Arial" w:hAnsi="Arial" w:cs="Arial"/>
              </w:rPr>
              <w:t xml:space="preserve">. </w:t>
            </w:r>
            <w:r w:rsidR="006F14A0">
              <w:rPr>
                <w:rFonts w:ascii="Arial" w:hAnsi="Arial" w:cs="Arial"/>
              </w:rPr>
              <w:t>Participant</w:t>
            </w:r>
            <w:r w:rsidRPr="00C230E8">
              <w:rPr>
                <w:rFonts w:ascii="Arial" w:hAnsi="Arial" w:cs="Arial"/>
              </w:rPr>
              <w:t xml:space="preserve"> spent ~20h </w:t>
            </w:r>
            <w:r w:rsidR="00692695">
              <w:rPr>
                <w:rFonts w:ascii="Arial" w:hAnsi="Arial" w:cs="Arial"/>
              </w:rPr>
              <w:t>in the hospital</w:t>
            </w:r>
            <w:r w:rsidRPr="00C230E8">
              <w:rPr>
                <w:rFonts w:ascii="Arial" w:hAnsi="Arial" w:cs="Arial"/>
              </w:rPr>
              <w:t xml:space="preserve"> and improved with IV fluids and pain control. He had no episodes of nausea or vomiting in hospital, nor did he pass any</w:t>
            </w:r>
            <w:r w:rsidR="001732CB">
              <w:rPr>
                <w:rFonts w:ascii="Arial" w:hAnsi="Arial" w:cs="Arial"/>
              </w:rPr>
              <w:t xml:space="preserve"> </w:t>
            </w:r>
            <w:r w:rsidRPr="00C230E8">
              <w:rPr>
                <w:rFonts w:ascii="Arial" w:hAnsi="Arial" w:cs="Arial"/>
              </w:rPr>
              <w:t xml:space="preserve">more worms. His abdominal pain subsided, he was able to take POs and was discharged </w:t>
            </w:r>
            <w:r>
              <w:rPr>
                <w:rFonts w:ascii="Arial" w:hAnsi="Arial" w:cs="Arial"/>
              </w:rPr>
              <w:t xml:space="preserve">on Dec 11 with the following discharge diagnosis: </w:t>
            </w:r>
            <w:r w:rsidRPr="00C230E8">
              <w:rPr>
                <w:rFonts w:ascii="Arial" w:hAnsi="Arial" w:cs="Arial"/>
              </w:rPr>
              <w:t xml:space="preserve">SAE </w:t>
            </w:r>
            <w:r w:rsidR="00692695">
              <w:rPr>
                <w:rFonts w:ascii="Arial" w:hAnsi="Arial" w:cs="Arial"/>
              </w:rPr>
              <w:t xml:space="preserve">probably </w:t>
            </w:r>
            <w:r w:rsidRPr="00C230E8">
              <w:rPr>
                <w:rFonts w:ascii="Arial" w:hAnsi="Arial" w:cs="Arial"/>
              </w:rPr>
              <w:t xml:space="preserve">secondary to treatment </w:t>
            </w:r>
            <w:r w:rsidR="00386C6A">
              <w:rPr>
                <w:rFonts w:ascii="Arial" w:hAnsi="Arial" w:cs="Arial"/>
              </w:rPr>
              <w:t xml:space="preserve">that led to </w:t>
            </w:r>
            <w:r w:rsidRPr="00C230E8">
              <w:rPr>
                <w:rFonts w:ascii="Arial" w:hAnsi="Arial" w:cs="Arial"/>
              </w:rPr>
              <w:t xml:space="preserve">hospitalization, </w:t>
            </w:r>
            <w:r w:rsidR="003B50F8">
              <w:rPr>
                <w:rFonts w:ascii="Arial" w:hAnsi="Arial" w:cs="Arial"/>
              </w:rPr>
              <w:t xml:space="preserve">now </w:t>
            </w:r>
            <w:r w:rsidRPr="00C230E8">
              <w:rPr>
                <w:rFonts w:ascii="Arial" w:hAnsi="Arial" w:cs="Arial"/>
              </w:rPr>
              <w:t>resolved</w:t>
            </w:r>
            <w:r>
              <w:rPr>
                <w:rFonts w:ascii="Arial" w:hAnsi="Arial" w:cs="Arial"/>
              </w:rPr>
              <w:t xml:space="preserve">; </w:t>
            </w:r>
            <w:r w:rsidRPr="00C230E8">
              <w:rPr>
                <w:rFonts w:ascii="Arial" w:hAnsi="Arial" w:cs="Arial"/>
              </w:rPr>
              <w:t>STH infection without evidence of obstruction, presumed ascariasis</w:t>
            </w:r>
            <w:r>
              <w:rPr>
                <w:rFonts w:ascii="Arial" w:hAnsi="Arial" w:cs="Arial"/>
              </w:rPr>
              <w:t xml:space="preserve">; </w:t>
            </w:r>
            <w:r w:rsidRPr="009A65F8">
              <w:rPr>
                <w:rFonts w:ascii="Arial" w:hAnsi="Arial" w:cs="Arial"/>
                <w:i/>
              </w:rPr>
              <w:t>H. pylori</w:t>
            </w:r>
            <w:r w:rsidRPr="00C230E8">
              <w:rPr>
                <w:rFonts w:ascii="Arial" w:hAnsi="Arial" w:cs="Arial"/>
              </w:rPr>
              <w:t xml:space="preserve"> positive</w:t>
            </w:r>
            <w:r>
              <w:rPr>
                <w:rFonts w:ascii="Arial" w:hAnsi="Arial" w:cs="Arial"/>
              </w:rPr>
              <w:t xml:space="preserve">. The participant was discharged with the following medications: </w:t>
            </w:r>
            <w:r w:rsidR="00692695">
              <w:rPr>
                <w:rFonts w:ascii="Arial" w:hAnsi="Arial" w:cs="Arial"/>
              </w:rPr>
              <w:t>a</w:t>
            </w:r>
            <w:r w:rsidRPr="00C230E8">
              <w:rPr>
                <w:rFonts w:ascii="Arial" w:hAnsi="Arial" w:cs="Arial"/>
              </w:rPr>
              <w:t>moxicillin 500 mg PO BID x 14 days</w:t>
            </w:r>
            <w:r>
              <w:rPr>
                <w:rFonts w:ascii="Arial" w:hAnsi="Arial" w:cs="Arial"/>
              </w:rPr>
              <w:t xml:space="preserve">; </w:t>
            </w:r>
            <w:r w:rsidR="00692695">
              <w:rPr>
                <w:rFonts w:ascii="Arial" w:hAnsi="Arial" w:cs="Arial"/>
              </w:rPr>
              <w:t>m</w:t>
            </w:r>
            <w:r w:rsidRPr="00C230E8">
              <w:rPr>
                <w:rFonts w:ascii="Arial" w:hAnsi="Arial" w:cs="Arial"/>
              </w:rPr>
              <w:t>etronidazole suspension 250 mg/5 cc PO TID x 14 days</w:t>
            </w:r>
            <w:r>
              <w:rPr>
                <w:rFonts w:ascii="Arial" w:hAnsi="Arial" w:cs="Arial"/>
              </w:rPr>
              <w:t xml:space="preserve">; </w:t>
            </w:r>
            <w:r w:rsidR="00692695">
              <w:rPr>
                <w:rFonts w:ascii="Arial" w:hAnsi="Arial" w:cs="Arial"/>
              </w:rPr>
              <w:t>o</w:t>
            </w:r>
            <w:r w:rsidRPr="00C230E8">
              <w:rPr>
                <w:rFonts w:ascii="Arial" w:hAnsi="Arial" w:cs="Arial"/>
              </w:rPr>
              <w:t>meprazole 20 mg PO daily x 14 days</w:t>
            </w:r>
            <w:r>
              <w:rPr>
                <w:rFonts w:ascii="Arial" w:hAnsi="Arial" w:cs="Arial"/>
              </w:rPr>
              <w:t xml:space="preserve">; </w:t>
            </w:r>
            <w:r w:rsidR="00692695">
              <w:rPr>
                <w:rFonts w:ascii="Arial" w:hAnsi="Arial" w:cs="Arial"/>
              </w:rPr>
              <w:t>s</w:t>
            </w:r>
            <w:r w:rsidRPr="00C230E8">
              <w:rPr>
                <w:rFonts w:ascii="Arial" w:hAnsi="Arial" w:cs="Arial"/>
              </w:rPr>
              <w:t>copolamine 10 mg PO BID</w:t>
            </w:r>
          </w:p>
        </w:tc>
      </w:tr>
    </w:tbl>
    <w:p w14:paraId="0F4EEB5E" w14:textId="77777777" w:rsidR="00682BC5" w:rsidRDefault="00682BC5"/>
    <w:p w14:paraId="0C198175" w14:textId="77777777" w:rsidR="00ED3B7B" w:rsidRDefault="00ED3B7B">
      <w:r>
        <w:br w:type="page"/>
      </w:r>
    </w:p>
    <w:tbl>
      <w:tblPr>
        <w:tblStyle w:val="TableGrid"/>
        <w:tblW w:w="8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620"/>
        <w:gridCol w:w="630"/>
        <w:gridCol w:w="1800"/>
        <w:gridCol w:w="2988"/>
      </w:tblGrid>
      <w:tr w:rsidR="001B3EF4" w14:paraId="0097A000" w14:textId="77777777" w:rsidTr="00457E65">
        <w:tc>
          <w:tcPr>
            <w:tcW w:w="1728" w:type="dxa"/>
          </w:tcPr>
          <w:p w14:paraId="61A8203B" w14:textId="4A21C1ED" w:rsidR="00FA2303" w:rsidRDefault="00FA2303" w:rsidP="00457E65">
            <w:pPr>
              <w:jc w:val="right"/>
              <w:rPr>
                <w:b/>
              </w:rPr>
            </w:pPr>
            <w:r>
              <w:rPr>
                <w:b/>
              </w:rPr>
              <w:lastRenderedPageBreak/>
              <w:t>SAE number 4</w:t>
            </w:r>
          </w:p>
          <w:p w14:paraId="09E96249" w14:textId="77777777" w:rsidR="001B3EF4" w:rsidRDefault="001B3EF4" w:rsidP="00457E65">
            <w:pPr>
              <w:jc w:val="right"/>
            </w:pPr>
            <w:r w:rsidRPr="0017605A">
              <w:rPr>
                <w:b/>
              </w:rPr>
              <w:t>SAE Term</w:t>
            </w:r>
            <w:r>
              <w:t xml:space="preserve">: </w:t>
            </w:r>
          </w:p>
        </w:tc>
        <w:tc>
          <w:tcPr>
            <w:tcW w:w="7038" w:type="dxa"/>
            <w:gridSpan w:val="4"/>
          </w:tcPr>
          <w:p w14:paraId="596C3EBE" w14:textId="77777777" w:rsidR="00FA2303" w:rsidRDefault="00FA2303" w:rsidP="00457E65"/>
          <w:p w14:paraId="28AFF004" w14:textId="77777777" w:rsidR="001B3EF4" w:rsidRDefault="001B3EF4" w:rsidP="00457E65">
            <w:r>
              <w:t>Dizziness</w:t>
            </w:r>
          </w:p>
        </w:tc>
      </w:tr>
      <w:tr w:rsidR="001B3EF4" w14:paraId="5A69469B" w14:textId="77777777" w:rsidTr="00457E65">
        <w:tc>
          <w:tcPr>
            <w:tcW w:w="1728" w:type="dxa"/>
          </w:tcPr>
          <w:p w14:paraId="53E1CB9B" w14:textId="77777777" w:rsidR="001B3EF4" w:rsidRPr="00EB32DD" w:rsidRDefault="001B3EF4" w:rsidP="00457E65">
            <w:pPr>
              <w:jc w:val="right"/>
              <w:rPr>
                <w:b/>
              </w:rPr>
            </w:pPr>
            <w:r>
              <w:rPr>
                <w:b/>
              </w:rPr>
              <w:t>CTCAE Grade:</w:t>
            </w:r>
          </w:p>
        </w:tc>
        <w:tc>
          <w:tcPr>
            <w:tcW w:w="7038" w:type="dxa"/>
            <w:gridSpan w:val="4"/>
          </w:tcPr>
          <w:p w14:paraId="184CEE93" w14:textId="77777777" w:rsidR="001B3EF4" w:rsidRDefault="001B3EF4" w:rsidP="00457E65">
            <w:r>
              <w:t>2</w:t>
            </w:r>
          </w:p>
        </w:tc>
      </w:tr>
      <w:tr w:rsidR="001B3EF4" w14:paraId="5A50D2CC" w14:textId="77777777" w:rsidTr="00457E65">
        <w:tc>
          <w:tcPr>
            <w:tcW w:w="1728" w:type="dxa"/>
          </w:tcPr>
          <w:p w14:paraId="13C693E9" w14:textId="77777777" w:rsidR="001B3EF4" w:rsidRPr="0017605A" w:rsidRDefault="001B3EF4" w:rsidP="00457E65">
            <w:pPr>
              <w:jc w:val="right"/>
              <w:rPr>
                <w:b/>
              </w:rPr>
            </w:pPr>
            <w:r w:rsidRPr="00EB32DD">
              <w:rPr>
                <w:b/>
              </w:rPr>
              <w:t>Serious Criteria</w:t>
            </w:r>
            <w:r>
              <w:t xml:space="preserve">: </w:t>
            </w:r>
          </w:p>
        </w:tc>
        <w:tc>
          <w:tcPr>
            <w:tcW w:w="7038" w:type="dxa"/>
            <w:gridSpan w:val="4"/>
          </w:tcPr>
          <w:p w14:paraId="4424FED4" w14:textId="77777777" w:rsidR="001B3EF4" w:rsidRPr="00682BC5" w:rsidRDefault="001B3EF4" w:rsidP="008B6CB5">
            <w:r>
              <w:t>In</w:t>
            </w:r>
            <w:r w:rsidR="006F14A0">
              <w:t>p</w:t>
            </w:r>
            <w:r w:rsidR="008B6CB5">
              <w:t>atient</w:t>
            </w:r>
            <w:r>
              <w:t xml:space="preserve"> or Prolonged Hospitalization</w:t>
            </w:r>
          </w:p>
        </w:tc>
      </w:tr>
      <w:tr w:rsidR="001B3EF4" w14:paraId="61E5AB4C" w14:textId="77777777" w:rsidTr="00457E65">
        <w:tc>
          <w:tcPr>
            <w:tcW w:w="1728" w:type="dxa"/>
          </w:tcPr>
          <w:p w14:paraId="69B3B665" w14:textId="77777777" w:rsidR="001B3EF4" w:rsidRDefault="001B3EF4" w:rsidP="00457E65">
            <w:pPr>
              <w:jc w:val="right"/>
            </w:pPr>
            <w:r w:rsidRPr="0017605A">
              <w:rPr>
                <w:b/>
              </w:rPr>
              <w:t>Treatment Arm</w:t>
            </w:r>
            <w:r>
              <w:t xml:space="preserve">: </w:t>
            </w:r>
          </w:p>
        </w:tc>
        <w:tc>
          <w:tcPr>
            <w:tcW w:w="2250" w:type="dxa"/>
            <w:gridSpan w:val="2"/>
          </w:tcPr>
          <w:p w14:paraId="2E693C2D" w14:textId="77777777" w:rsidR="001B3EF4" w:rsidRDefault="001B3EF4" w:rsidP="00457E65">
            <w:r>
              <w:t>DEC+ALB</w:t>
            </w:r>
          </w:p>
        </w:tc>
        <w:tc>
          <w:tcPr>
            <w:tcW w:w="1800" w:type="dxa"/>
          </w:tcPr>
          <w:p w14:paraId="16364B03" w14:textId="77777777" w:rsidR="001B3EF4" w:rsidRDefault="001B3EF4" w:rsidP="00457E65">
            <w:pPr>
              <w:jc w:val="right"/>
            </w:pPr>
            <w:r w:rsidRPr="0017605A">
              <w:rPr>
                <w:b/>
              </w:rPr>
              <w:t>Treatment Date</w:t>
            </w:r>
            <w:r>
              <w:t xml:space="preserve">: </w:t>
            </w:r>
          </w:p>
        </w:tc>
        <w:tc>
          <w:tcPr>
            <w:tcW w:w="2988" w:type="dxa"/>
          </w:tcPr>
          <w:p w14:paraId="3BE88290" w14:textId="77777777" w:rsidR="001B3EF4" w:rsidRDefault="001B3EF4" w:rsidP="00457E65">
            <w:r>
              <w:t>Jul 21, 2017</w:t>
            </w:r>
          </w:p>
        </w:tc>
      </w:tr>
      <w:tr w:rsidR="001B3EF4" w14:paraId="21B224E1" w14:textId="77777777" w:rsidTr="00457E65">
        <w:tc>
          <w:tcPr>
            <w:tcW w:w="3348" w:type="dxa"/>
            <w:gridSpan w:val="2"/>
          </w:tcPr>
          <w:p w14:paraId="42E96C69" w14:textId="77777777" w:rsidR="001B3EF4" w:rsidRPr="0017605A" w:rsidRDefault="001B3EF4" w:rsidP="00457E65">
            <w:pPr>
              <w:jc w:val="right"/>
              <w:rPr>
                <w:b/>
              </w:rPr>
            </w:pPr>
            <w:r w:rsidRPr="00EB32DD">
              <w:rPr>
                <w:b/>
              </w:rPr>
              <w:t>Relationship of SAE to Treatment</w:t>
            </w:r>
            <w:r>
              <w:t xml:space="preserve">: </w:t>
            </w:r>
          </w:p>
        </w:tc>
        <w:tc>
          <w:tcPr>
            <w:tcW w:w="5418" w:type="dxa"/>
            <w:gridSpan w:val="3"/>
          </w:tcPr>
          <w:p w14:paraId="0FF0BDE8" w14:textId="77777777" w:rsidR="001B3EF4" w:rsidRPr="00D0635B" w:rsidRDefault="001B3EF4" w:rsidP="00457E65">
            <w:r>
              <w:t>Possibly Related</w:t>
            </w:r>
          </w:p>
        </w:tc>
      </w:tr>
      <w:tr w:rsidR="001B3EF4" w14:paraId="7327209C" w14:textId="77777777" w:rsidTr="00457E65">
        <w:tc>
          <w:tcPr>
            <w:tcW w:w="1728" w:type="dxa"/>
          </w:tcPr>
          <w:p w14:paraId="4A3D9D09" w14:textId="77777777" w:rsidR="001B3EF4" w:rsidRDefault="001B3EF4" w:rsidP="00457E65">
            <w:pPr>
              <w:jc w:val="right"/>
            </w:pPr>
            <w:r w:rsidRPr="00EB32DD">
              <w:rPr>
                <w:b/>
              </w:rPr>
              <w:t>SAE Start Date</w:t>
            </w:r>
            <w:r>
              <w:t xml:space="preserve">: </w:t>
            </w:r>
          </w:p>
        </w:tc>
        <w:tc>
          <w:tcPr>
            <w:tcW w:w="2250" w:type="dxa"/>
            <w:gridSpan w:val="2"/>
          </w:tcPr>
          <w:p w14:paraId="38BE3F2E" w14:textId="77777777" w:rsidR="001B3EF4" w:rsidRDefault="001B3EF4" w:rsidP="00457E65">
            <w:r>
              <w:t>Jul 24, 2017</w:t>
            </w:r>
          </w:p>
        </w:tc>
        <w:tc>
          <w:tcPr>
            <w:tcW w:w="1800" w:type="dxa"/>
          </w:tcPr>
          <w:p w14:paraId="758AAA8A" w14:textId="77777777" w:rsidR="001B3EF4" w:rsidRPr="0017605A" w:rsidRDefault="001B3EF4" w:rsidP="00457E65">
            <w:pPr>
              <w:jc w:val="right"/>
              <w:rPr>
                <w:b/>
              </w:rPr>
            </w:pPr>
            <w:r w:rsidRPr="00EB32DD">
              <w:rPr>
                <w:b/>
              </w:rPr>
              <w:t>SAE End Date</w:t>
            </w:r>
            <w:r>
              <w:t xml:space="preserve">: </w:t>
            </w:r>
          </w:p>
        </w:tc>
        <w:tc>
          <w:tcPr>
            <w:tcW w:w="2988" w:type="dxa"/>
          </w:tcPr>
          <w:p w14:paraId="63BD6060" w14:textId="77777777" w:rsidR="001B3EF4" w:rsidRPr="00D0635B" w:rsidRDefault="001B3EF4" w:rsidP="00457E65">
            <w:r>
              <w:t>Jul 28, 2017</w:t>
            </w:r>
          </w:p>
        </w:tc>
      </w:tr>
      <w:tr w:rsidR="001B3EF4" w14:paraId="0EBACD77" w14:textId="77777777" w:rsidTr="00457E65">
        <w:tc>
          <w:tcPr>
            <w:tcW w:w="1728" w:type="dxa"/>
          </w:tcPr>
          <w:p w14:paraId="3F1AE36E" w14:textId="77777777" w:rsidR="001B3EF4" w:rsidRPr="00EB32DD" w:rsidRDefault="001B3EF4" w:rsidP="00457E65">
            <w:pPr>
              <w:jc w:val="right"/>
              <w:rPr>
                <w:b/>
              </w:rPr>
            </w:pPr>
            <w:r w:rsidRPr="00EB32DD">
              <w:rPr>
                <w:b/>
              </w:rPr>
              <w:t>SAE Outcome</w:t>
            </w:r>
            <w:r>
              <w:t xml:space="preserve">: </w:t>
            </w:r>
          </w:p>
        </w:tc>
        <w:tc>
          <w:tcPr>
            <w:tcW w:w="7038" w:type="dxa"/>
            <w:gridSpan w:val="4"/>
          </w:tcPr>
          <w:p w14:paraId="0593B607" w14:textId="77777777" w:rsidR="001B3EF4" w:rsidRPr="00D0635B" w:rsidRDefault="001B3EF4" w:rsidP="00457E65">
            <w:r>
              <w:t>Recovered/Resolved</w:t>
            </w:r>
          </w:p>
        </w:tc>
      </w:tr>
      <w:tr w:rsidR="001B3EF4" w14:paraId="67856975" w14:textId="77777777" w:rsidTr="00457E65">
        <w:tc>
          <w:tcPr>
            <w:tcW w:w="1728" w:type="dxa"/>
          </w:tcPr>
          <w:p w14:paraId="2F68F412" w14:textId="77777777" w:rsidR="001B3EF4" w:rsidRPr="00EB32DD" w:rsidRDefault="001B3EF4" w:rsidP="00457E65">
            <w:pPr>
              <w:jc w:val="right"/>
              <w:rPr>
                <w:b/>
              </w:rPr>
            </w:pPr>
            <w:r>
              <w:rPr>
                <w:b/>
              </w:rPr>
              <w:t>Sex</w:t>
            </w:r>
            <w:r>
              <w:t>:</w:t>
            </w:r>
          </w:p>
        </w:tc>
        <w:tc>
          <w:tcPr>
            <w:tcW w:w="2250" w:type="dxa"/>
            <w:gridSpan w:val="2"/>
          </w:tcPr>
          <w:p w14:paraId="686825F6" w14:textId="77777777" w:rsidR="001B3EF4" w:rsidRDefault="001B3EF4" w:rsidP="00457E65">
            <w:r>
              <w:t>Female</w:t>
            </w:r>
          </w:p>
        </w:tc>
        <w:tc>
          <w:tcPr>
            <w:tcW w:w="1800" w:type="dxa"/>
          </w:tcPr>
          <w:p w14:paraId="7E853CE2" w14:textId="77777777" w:rsidR="001B3EF4" w:rsidRDefault="001B3EF4" w:rsidP="00457E65">
            <w:pPr>
              <w:jc w:val="right"/>
            </w:pPr>
            <w:r>
              <w:rPr>
                <w:b/>
              </w:rPr>
              <w:t>Age</w:t>
            </w:r>
            <w:r>
              <w:t>:</w:t>
            </w:r>
          </w:p>
        </w:tc>
        <w:tc>
          <w:tcPr>
            <w:tcW w:w="2988" w:type="dxa"/>
          </w:tcPr>
          <w:p w14:paraId="587DA73B" w14:textId="77777777" w:rsidR="001B3EF4" w:rsidRDefault="001B3EF4" w:rsidP="00457E65">
            <w:r>
              <w:t>68</w:t>
            </w:r>
          </w:p>
        </w:tc>
      </w:tr>
      <w:tr w:rsidR="001B3EF4" w14:paraId="2607DCA8" w14:textId="77777777" w:rsidTr="00457E65">
        <w:tc>
          <w:tcPr>
            <w:tcW w:w="1728" w:type="dxa"/>
          </w:tcPr>
          <w:p w14:paraId="042BA458" w14:textId="77777777" w:rsidR="001B3EF4" w:rsidRPr="00EB32DD" w:rsidRDefault="001B3EF4" w:rsidP="00457E65">
            <w:pPr>
              <w:jc w:val="right"/>
              <w:rPr>
                <w:b/>
              </w:rPr>
            </w:pPr>
            <w:r>
              <w:rPr>
                <w:b/>
              </w:rPr>
              <w:t>Description:</w:t>
            </w:r>
          </w:p>
        </w:tc>
        <w:tc>
          <w:tcPr>
            <w:tcW w:w="7038" w:type="dxa"/>
            <w:gridSpan w:val="4"/>
          </w:tcPr>
          <w:p w14:paraId="194C7A98" w14:textId="3865B586" w:rsidR="001B3EF4" w:rsidRDefault="001B3EF4" w:rsidP="00386C6A">
            <w:r>
              <w:rPr>
                <w:rFonts w:ascii="Arial" w:hAnsi="Arial" w:cs="Arial"/>
              </w:rPr>
              <w:t xml:space="preserve">On July 27, 2017, six days after taking the study medication, the participant enrolled in the two-drug arm of the study in Fiji was hospitalized for severe dizziness. The participant had a previous diagnosis of hypertension, and her hypertension medications were </w:t>
            </w:r>
            <w:r w:rsidR="00692695">
              <w:rPr>
                <w:rFonts w:ascii="Arial" w:hAnsi="Arial" w:cs="Arial"/>
              </w:rPr>
              <w:t>last taken</w:t>
            </w:r>
            <w:r>
              <w:rPr>
                <w:rFonts w:ascii="Arial" w:hAnsi="Arial" w:cs="Arial"/>
              </w:rPr>
              <w:t xml:space="preserve"> on July 18, 2017. On July 24, 2017 the participant was seen by a physician and complained of dizziness. Her blood pressure was normal during the July 24 visit. She reported that she had been feeling dizzy since before she took her MDA meds on July 21, 2017.  She was seen again on the July 27, 2017 and complained of severe dizziness and was admitted with 1L IV fluids to run overnight and hypertension medicine was </w:t>
            </w:r>
            <w:r w:rsidR="00692695">
              <w:rPr>
                <w:rFonts w:ascii="Arial" w:hAnsi="Arial" w:cs="Arial"/>
              </w:rPr>
              <w:t>restarted</w:t>
            </w:r>
            <w:r>
              <w:rPr>
                <w:rFonts w:ascii="Arial" w:hAnsi="Arial" w:cs="Arial"/>
              </w:rPr>
              <w:t xml:space="preserve">. </w:t>
            </w:r>
            <w:r w:rsidR="00386C6A">
              <w:rPr>
                <w:rFonts w:ascii="Arial" w:hAnsi="Arial" w:cs="Arial"/>
              </w:rPr>
              <w:t>H</w:t>
            </w:r>
            <w:r>
              <w:rPr>
                <w:rFonts w:ascii="Arial" w:hAnsi="Arial" w:cs="Arial"/>
              </w:rPr>
              <w:t xml:space="preserve">ospitalization </w:t>
            </w:r>
            <w:r w:rsidR="00386C6A">
              <w:rPr>
                <w:rFonts w:ascii="Arial" w:hAnsi="Arial" w:cs="Arial"/>
              </w:rPr>
              <w:t xml:space="preserve">required that </w:t>
            </w:r>
            <w:r>
              <w:rPr>
                <w:rFonts w:ascii="Arial" w:hAnsi="Arial" w:cs="Arial"/>
              </w:rPr>
              <w:t xml:space="preserve">this event </w:t>
            </w:r>
            <w:r w:rsidR="00386C6A">
              <w:rPr>
                <w:rFonts w:ascii="Arial" w:hAnsi="Arial" w:cs="Arial"/>
              </w:rPr>
              <w:t>be</w:t>
            </w:r>
            <w:r>
              <w:rPr>
                <w:rFonts w:ascii="Arial" w:hAnsi="Arial" w:cs="Arial"/>
              </w:rPr>
              <w:t xml:space="preserve"> reported as an SAE. She recovered fully</w:t>
            </w:r>
            <w:r w:rsidR="00692695">
              <w:rPr>
                <w:rFonts w:ascii="Arial" w:hAnsi="Arial" w:cs="Arial"/>
              </w:rPr>
              <w:t xml:space="preserve"> and was discharged</w:t>
            </w:r>
            <w:r>
              <w:rPr>
                <w:rFonts w:ascii="Arial" w:hAnsi="Arial" w:cs="Arial"/>
              </w:rPr>
              <w:t xml:space="preserve"> the next morning on Jul 28, 2017 with no complaints.</w:t>
            </w:r>
            <w:r w:rsidR="00692695">
              <w:rPr>
                <w:rFonts w:ascii="Arial" w:hAnsi="Arial" w:cs="Arial"/>
              </w:rPr>
              <w:t xml:space="preserve"> </w:t>
            </w:r>
          </w:p>
        </w:tc>
      </w:tr>
    </w:tbl>
    <w:p w14:paraId="16A8DECB" w14:textId="77777777" w:rsidR="001B3EF4" w:rsidRDefault="001B3EF4" w:rsidP="001B3EF4"/>
    <w:tbl>
      <w:tblPr>
        <w:tblStyle w:val="TableGrid"/>
        <w:tblW w:w="8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620"/>
        <w:gridCol w:w="630"/>
        <w:gridCol w:w="1800"/>
        <w:gridCol w:w="2988"/>
      </w:tblGrid>
      <w:tr w:rsidR="00A565E1" w14:paraId="51A4869A" w14:textId="77777777" w:rsidTr="00457E65">
        <w:tc>
          <w:tcPr>
            <w:tcW w:w="1728" w:type="dxa"/>
          </w:tcPr>
          <w:p w14:paraId="6777C957" w14:textId="77777777" w:rsidR="00FA2303" w:rsidRDefault="00FA2303" w:rsidP="00457E65">
            <w:pPr>
              <w:jc w:val="right"/>
              <w:rPr>
                <w:b/>
              </w:rPr>
            </w:pPr>
            <w:r>
              <w:rPr>
                <w:b/>
              </w:rPr>
              <w:t>SAE number 5</w:t>
            </w:r>
          </w:p>
          <w:p w14:paraId="79740643" w14:textId="77777777" w:rsidR="00A565E1" w:rsidRDefault="00A565E1" w:rsidP="00457E65">
            <w:pPr>
              <w:jc w:val="right"/>
            </w:pPr>
            <w:r w:rsidRPr="0017605A">
              <w:rPr>
                <w:b/>
              </w:rPr>
              <w:t>SAE Term</w:t>
            </w:r>
            <w:r>
              <w:t xml:space="preserve">: </w:t>
            </w:r>
          </w:p>
        </w:tc>
        <w:tc>
          <w:tcPr>
            <w:tcW w:w="7038" w:type="dxa"/>
            <w:gridSpan w:val="4"/>
          </w:tcPr>
          <w:p w14:paraId="73213B9D" w14:textId="77777777" w:rsidR="00FA2303" w:rsidRDefault="00FA2303" w:rsidP="00457E65"/>
          <w:p w14:paraId="5CF8D8DD" w14:textId="77777777" w:rsidR="00A565E1" w:rsidRDefault="00A565E1" w:rsidP="00457E65">
            <w:r>
              <w:t>Cellulitis</w:t>
            </w:r>
          </w:p>
        </w:tc>
      </w:tr>
      <w:tr w:rsidR="00A565E1" w14:paraId="2DCA690E" w14:textId="77777777" w:rsidTr="00457E65">
        <w:tc>
          <w:tcPr>
            <w:tcW w:w="1728" w:type="dxa"/>
          </w:tcPr>
          <w:p w14:paraId="2FCCA680" w14:textId="77777777" w:rsidR="00A565E1" w:rsidRPr="00EB32DD" w:rsidRDefault="00A565E1" w:rsidP="00457E65">
            <w:pPr>
              <w:jc w:val="right"/>
              <w:rPr>
                <w:b/>
              </w:rPr>
            </w:pPr>
            <w:r>
              <w:rPr>
                <w:b/>
              </w:rPr>
              <w:t>CTCAE Grade:</w:t>
            </w:r>
          </w:p>
        </w:tc>
        <w:tc>
          <w:tcPr>
            <w:tcW w:w="7038" w:type="dxa"/>
            <w:gridSpan w:val="4"/>
          </w:tcPr>
          <w:p w14:paraId="591C4D32" w14:textId="77777777" w:rsidR="00A565E1" w:rsidRDefault="00A565E1" w:rsidP="00457E65">
            <w:r>
              <w:t>3</w:t>
            </w:r>
          </w:p>
        </w:tc>
      </w:tr>
      <w:tr w:rsidR="00A565E1" w14:paraId="3CED29B5" w14:textId="77777777" w:rsidTr="00457E65">
        <w:tc>
          <w:tcPr>
            <w:tcW w:w="1728" w:type="dxa"/>
          </w:tcPr>
          <w:p w14:paraId="492D1B85" w14:textId="77777777" w:rsidR="00A565E1" w:rsidRPr="0017605A" w:rsidRDefault="00A565E1" w:rsidP="00457E65">
            <w:pPr>
              <w:jc w:val="right"/>
              <w:rPr>
                <w:b/>
              </w:rPr>
            </w:pPr>
            <w:r w:rsidRPr="00EB32DD">
              <w:rPr>
                <w:b/>
              </w:rPr>
              <w:t>Serious Criteria</w:t>
            </w:r>
            <w:r>
              <w:t xml:space="preserve">: </w:t>
            </w:r>
          </w:p>
        </w:tc>
        <w:tc>
          <w:tcPr>
            <w:tcW w:w="7038" w:type="dxa"/>
            <w:gridSpan w:val="4"/>
          </w:tcPr>
          <w:p w14:paraId="6285AA8F" w14:textId="77777777" w:rsidR="00A565E1" w:rsidRPr="00682BC5" w:rsidRDefault="008B6CB5" w:rsidP="008B6CB5">
            <w:r>
              <w:t>Persistence</w:t>
            </w:r>
            <w:r w:rsidR="00A565E1">
              <w:t xml:space="preserve"> of significant disability/incapacity</w:t>
            </w:r>
          </w:p>
        </w:tc>
      </w:tr>
      <w:tr w:rsidR="00A565E1" w14:paraId="31BEFCEB" w14:textId="77777777" w:rsidTr="00457E65">
        <w:tc>
          <w:tcPr>
            <w:tcW w:w="1728" w:type="dxa"/>
          </w:tcPr>
          <w:p w14:paraId="7165E4F6" w14:textId="77777777" w:rsidR="00A565E1" w:rsidRDefault="00A565E1" w:rsidP="00457E65">
            <w:pPr>
              <w:jc w:val="right"/>
            </w:pPr>
            <w:r w:rsidRPr="0017605A">
              <w:rPr>
                <w:b/>
              </w:rPr>
              <w:t>Treatment Arm</w:t>
            </w:r>
            <w:r>
              <w:t xml:space="preserve">: </w:t>
            </w:r>
          </w:p>
        </w:tc>
        <w:tc>
          <w:tcPr>
            <w:tcW w:w="2250" w:type="dxa"/>
            <w:gridSpan w:val="2"/>
          </w:tcPr>
          <w:p w14:paraId="6D0D93E5" w14:textId="77777777" w:rsidR="00A565E1" w:rsidRDefault="00A565E1" w:rsidP="00457E65">
            <w:r>
              <w:t>IVM+DEC+ALB</w:t>
            </w:r>
          </w:p>
        </w:tc>
        <w:tc>
          <w:tcPr>
            <w:tcW w:w="1800" w:type="dxa"/>
          </w:tcPr>
          <w:p w14:paraId="3CEFB300" w14:textId="77777777" w:rsidR="00A565E1" w:rsidRDefault="00A565E1" w:rsidP="00457E65">
            <w:pPr>
              <w:jc w:val="right"/>
            </w:pPr>
            <w:r w:rsidRPr="0017605A">
              <w:rPr>
                <w:b/>
              </w:rPr>
              <w:t>Treatment Date</w:t>
            </w:r>
            <w:r>
              <w:t xml:space="preserve">: </w:t>
            </w:r>
          </w:p>
        </w:tc>
        <w:tc>
          <w:tcPr>
            <w:tcW w:w="2988" w:type="dxa"/>
          </w:tcPr>
          <w:p w14:paraId="52B2D5C0" w14:textId="77777777" w:rsidR="00A565E1" w:rsidRDefault="00A565E1" w:rsidP="00457E65">
            <w:r>
              <w:t>Aug 05, 2017</w:t>
            </w:r>
          </w:p>
        </w:tc>
      </w:tr>
      <w:tr w:rsidR="00A565E1" w14:paraId="7637DC9C" w14:textId="77777777" w:rsidTr="00457E65">
        <w:tc>
          <w:tcPr>
            <w:tcW w:w="3348" w:type="dxa"/>
            <w:gridSpan w:val="2"/>
          </w:tcPr>
          <w:p w14:paraId="06F998DE" w14:textId="77777777" w:rsidR="00A565E1" w:rsidRPr="0017605A" w:rsidRDefault="00A565E1" w:rsidP="00457E65">
            <w:pPr>
              <w:jc w:val="right"/>
              <w:rPr>
                <w:b/>
              </w:rPr>
            </w:pPr>
            <w:r w:rsidRPr="00EB32DD">
              <w:rPr>
                <w:b/>
              </w:rPr>
              <w:t>Relationship of SAE to Treatment</w:t>
            </w:r>
            <w:r>
              <w:t xml:space="preserve">: </w:t>
            </w:r>
          </w:p>
        </w:tc>
        <w:tc>
          <w:tcPr>
            <w:tcW w:w="5418" w:type="dxa"/>
            <w:gridSpan w:val="3"/>
          </w:tcPr>
          <w:p w14:paraId="306A39CB" w14:textId="77777777" w:rsidR="00A565E1" w:rsidRPr="00D0635B" w:rsidRDefault="00A565E1" w:rsidP="00457E65">
            <w:r>
              <w:t>Possibly Related</w:t>
            </w:r>
          </w:p>
        </w:tc>
      </w:tr>
      <w:tr w:rsidR="00A565E1" w14:paraId="39F92FB4" w14:textId="77777777" w:rsidTr="00457E65">
        <w:tc>
          <w:tcPr>
            <w:tcW w:w="1728" w:type="dxa"/>
          </w:tcPr>
          <w:p w14:paraId="581751E5" w14:textId="77777777" w:rsidR="00A565E1" w:rsidRDefault="00A565E1" w:rsidP="00457E65">
            <w:pPr>
              <w:jc w:val="right"/>
            </w:pPr>
            <w:r w:rsidRPr="00EB32DD">
              <w:rPr>
                <w:b/>
              </w:rPr>
              <w:t>SAE Start Date</w:t>
            </w:r>
            <w:r>
              <w:t xml:space="preserve">: </w:t>
            </w:r>
          </w:p>
        </w:tc>
        <w:tc>
          <w:tcPr>
            <w:tcW w:w="2250" w:type="dxa"/>
            <w:gridSpan w:val="2"/>
          </w:tcPr>
          <w:p w14:paraId="11AD9689" w14:textId="77777777" w:rsidR="00A565E1" w:rsidRDefault="00A565E1" w:rsidP="00457E65">
            <w:r>
              <w:t>Aug 10, 2017</w:t>
            </w:r>
          </w:p>
        </w:tc>
        <w:tc>
          <w:tcPr>
            <w:tcW w:w="1800" w:type="dxa"/>
          </w:tcPr>
          <w:p w14:paraId="4B74BF2A" w14:textId="77777777" w:rsidR="00A565E1" w:rsidRPr="0017605A" w:rsidRDefault="00A565E1" w:rsidP="00457E65">
            <w:pPr>
              <w:jc w:val="right"/>
              <w:rPr>
                <w:b/>
              </w:rPr>
            </w:pPr>
            <w:r w:rsidRPr="00EB32DD">
              <w:rPr>
                <w:b/>
              </w:rPr>
              <w:t>SAE End Date</w:t>
            </w:r>
            <w:r>
              <w:t xml:space="preserve">: </w:t>
            </w:r>
          </w:p>
        </w:tc>
        <w:tc>
          <w:tcPr>
            <w:tcW w:w="2988" w:type="dxa"/>
          </w:tcPr>
          <w:p w14:paraId="58D68D57" w14:textId="77777777" w:rsidR="00A565E1" w:rsidRPr="00D0635B" w:rsidRDefault="00A565E1" w:rsidP="00457E65">
            <w:r>
              <w:t>Aug 31, 2017</w:t>
            </w:r>
          </w:p>
        </w:tc>
      </w:tr>
      <w:tr w:rsidR="00A565E1" w14:paraId="2FD65DF0" w14:textId="77777777" w:rsidTr="00457E65">
        <w:tc>
          <w:tcPr>
            <w:tcW w:w="1728" w:type="dxa"/>
          </w:tcPr>
          <w:p w14:paraId="27A7D1DA" w14:textId="77777777" w:rsidR="00A565E1" w:rsidRPr="00EB32DD" w:rsidRDefault="00A565E1" w:rsidP="00457E65">
            <w:pPr>
              <w:jc w:val="right"/>
              <w:rPr>
                <w:b/>
              </w:rPr>
            </w:pPr>
            <w:r w:rsidRPr="00EB32DD">
              <w:rPr>
                <w:b/>
              </w:rPr>
              <w:t>SAE Outcome</w:t>
            </w:r>
            <w:r>
              <w:t xml:space="preserve">: </w:t>
            </w:r>
          </w:p>
        </w:tc>
        <w:tc>
          <w:tcPr>
            <w:tcW w:w="7038" w:type="dxa"/>
            <w:gridSpan w:val="4"/>
          </w:tcPr>
          <w:p w14:paraId="6C2A5A48" w14:textId="77777777" w:rsidR="00A565E1" w:rsidRPr="00D0635B" w:rsidRDefault="00A565E1" w:rsidP="00457E65">
            <w:r>
              <w:t>Recovered/Resolved with sequelae</w:t>
            </w:r>
          </w:p>
        </w:tc>
      </w:tr>
      <w:tr w:rsidR="00A565E1" w14:paraId="413E4167" w14:textId="77777777" w:rsidTr="00457E65">
        <w:tc>
          <w:tcPr>
            <w:tcW w:w="1728" w:type="dxa"/>
          </w:tcPr>
          <w:p w14:paraId="4DDE9BAD" w14:textId="77777777" w:rsidR="00A565E1" w:rsidRPr="00EB32DD" w:rsidRDefault="00A565E1" w:rsidP="00457E65">
            <w:pPr>
              <w:jc w:val="right"/>
              <w:rPr>
                <w:b/>
              </w:rPr>
            </w:pPr>
            <w:r>
              <w:rPr>
                <w:b/>
              </w:rPr>
              <w:t>Sex</w:t>
            </w:r>
            <w:r>
              <w:t>:</w:t>
            </w:r>
          </w:p>
        </w:tc>
        <w:tc>
          <w:tcPr>
            <w:tcW w:w="2250" w:type="dxa"/>
            <w:gridSpan w:val="2"/>
          </w:tcPr>
          <w:p w14:paraId="70070D5E" w14:textId="77777777" w:rsidR="00A565E1" w:rsidRDefault="00A565E1" w:rsidP="00457E65">
            <w:r>
              <w:t>Female</w:t>
            </w:r>
          </w:p>
        </w:tc>
        <w:tc>
          <w:tcPr>
            <w:tcW w:w="1800" w:type="dxa"/>
          </w:tcPr>
          <w:p w14:paraId="5998C0F7" w14:textId="77777777" w:rsidR="00A565E1" w:rsidRDefault="00A565E1" w:rsidP="00457E65">
            <w:pPr>
              <w:jc w:val="right"/>
            </w:pPr>
            <w:r>
              <w:rPr>
                <w:b/>
              </w:rPr>
              <w:t>Age</w:t>
            </w:r>
            <w:r>
              <w:t>:</w:t>
            </w:r>
          </w:p>
        </w:tc>
        <w:tc>
          <w:tcPr>
            <w:tcW w:w="2988" w:type="dxa"/>
          </w:tcPr>
          <w:p w14:paraId="542F9A46" w14:textId="77777777" w:rsidR="00A565E1" w:rsidRDefault="00A565E1" w:rsidP="00457E65">
            <w:r>
              <w:t>74</w:t>
            </w:r>
          </w:p>
        </w:tc>
      </w:tr>
      <w:tr w:rsidR="00A565E1" w14:paraId="0B34ACA9" w14:textId="77777777" w:rsidTr="00457E65">
        <w:tc>
          <w:tcPr>
            <w:tcW w:w="1728" w:type="dxa"/>
          </w:tcPr>
          <w:p w14:paraId="0C5FDB52" w14:textId="77777777" w:rsidR="00A565E1" w:rsidRPr="00EB32DD" w:rsidRDefault="00A565E1" w:rsidP="00457E65">
            <w:pPr>
              <w:jc w:val="right"/>
              <w:rPr>
                <w:b/>
              </w:rPr>
            </w:pPr>
            <w:r>
              <w:rPr>
                <w:b/>
              </w:rPr>
              <w:t>Description:</w:t>
            </w:r>
          </w:p>
        </w:tc>
        <w:tc>
          <w:tcPr>
            <w:tcW w:w="7038" w:type="dxa"/>
            <w:gridSpan w:val="4"/>
          </w:tcPr>
          <w:p w14:paraId="546D9687" w14:textId="26948A3D" w:rsidR="00A565E1" w:rsidRDefault="00A565E1" w:rsidP="00990D14">
            <w:r>
              <w:rPr>
                <w:rFonts w:ascii="Arial" w:hAnsi="Arial" w:cs="Arial"/>
              </w:rPr>
              <w:t xml:space="preserve">On August 12, 2017, seven days </w:t>
            </w:r>
            <w:r w:rsidR="00692695">
              <w:rPr>
                <w:rFonts w:ascii="Arial" w:hAnsi="Arial" w:cs="Arial"/>
              </w:rPr>
              <w:t>after taking the study medicatio</w:t>
            </w:r>
            <w:r>
              <w:rPr>
                <w:rFonts w:ascii="Arial" w:hAnsi="Arial" w:cs="Arial"/>
              </w:rPr>
              <w:t xml:space="preserve">n, a participant enrolled in the three-drug arm of the study in Fiji reported severe fatigue, severe muscle pain, moderate nausea, and severe unusual swelling of the left leg. She had been unable to walk on the leg since August 10, 2017. The participant had a history of diabetes, hypertension, and for approximately 30 years, lymphedema of the left leg. She was prescribed oral </w:t>
            </w:r>
            <w:proofErr w:type="spellStart"/>
            <w:r>
              <w:rPr>
                <w:rFonts w:ascii="Arial" w:hAnsi="Arial" w:cs="Arial"/>
              </w:rPr>
              <w:t>flucloxacillin</w:t>
            </w:r>
            <w:proofErr w:type="spellEnd"/>
            <w:r>
              <w:rPr>
                <w:rFonts w:ascii="Arial" w:hAnsi="Arial" w:cs="Arial"/>
              </w:rPr>
              <w:t>, ibuprofen and paracetamol. She was also treated with several daily doses of intramuscular procaine penicillin. Participant was managed as an out</w:t>
            </w:r>
            <w:r w:rsidR="008B6CB5">
              <w:rPr>
                <w:rFonts w:ascii="Arial" w:hAnsi="Arial" w:cs="Arial"/>
              </w:rPr>
              <w:t xml:space="preserve">patient </w:t>
            </w:r>
            <w:r>
              <w:rPr>
                <w:rFonts w:ascii="Arial" w:hAnsi="Arial" w:cs="Arial"/>
              </w:rPr>
              <w:t>based on limited systemic symptoms, notably no fev</w:t>
            </w:r>
            <w:r w:rsidR="008B6CB5">
              <w:rPr>
                <w:rFonts w:ascii="Arial" w:hAnsi="Arial" w:cs="Arial"/>
              </w:rPr>
              <w:t>er. There was no need for fluid</w:t>
            </w:r>
            <w:r>
              <w:rPr>
                <w:rFonts w:ascii="Arial" w:hAnsi="Arial" w:cs="Arial"/>
              </w:rPr>
              <w:t xml:space="preserve"> support despite nausea and the participant</w:t>
            </w:r>
            <w:r w:rsidR="003B50F8">
              <w:rPr>
                <w:rFonts w:ascii="Arial" w:hAnsi="Arial" w:cs="Arial"/>
              </w:rPr>
              <w:t xml:space="preserve"> tolerated</w:t>
            </w:r>
            <w:r>
              <w:rPr>
                <w:rFonts w:ascii="Arial" w:hAnsi="Arial" w:cs="Arial"/>
              </w:rPr>
              <w:t xml:space="preserve"> oral fluids. </w:t>
            </w:r>
            <w:r w:rsidR="00990D14">
              <w:rPr>
                <w:rFonts w:ascii="Arial" w:hAnsi="Arial" w:cs="Arial"/>
              </w:rPr>
              <w:t xml:space="preserve">Pain </w:t>
            </w:r>
            <w:proofErr w:type="gramStart"/>
            <w:r w:rsidR="00990D14">
              <w:rPr>
                <w:rFonts w:ascii="Arial" w:hAnsi="Arial" w:cs="Arial"/>
              </w:rPr>
              <w:t>was managed</w:t>
            </w:r>
            <w:proofErr w:type="gramEnd"/>
            <w:r w:rsidR="00990D14">
              <w:rPr>
                <w:rFonts w:ascii="Arial" w:hAnsi="Arial" w:cs="Arial"/>
              </w:rPr>
              <w:t xml:space="preserve"> </w:t>
            </w:r>
            <w:r>
              <w:rPr>
                <w:rFonts w:ascii="Arial" w:hAnsi="Arial" w:cs="Arial"/>
              </w:rPr>
              <w:t xml:space="preserve">with analgesics. </w:t>
            </w:r>
            <w:r w:rsidR="003B50F8">
              <w:rPr>
                <w:rFonts w:ascii="Arial" w:hAnsi="Arial" w:cs="Arial"/>
              </w:rPr>
              <w:t xml:space="preserve">The event </w:t>
            </w:r>
            <w:proofErr w:type="gramStart"/>
            <w:r w:rsidR="003B50F8">
              <w:rPr>
                <w:rFonts w:ascii="Arial" w:hAnsi="Arial" w:cs="Arial"/>
              </w:rPr>
              <w:t>was reported</w:t>
            </w:r>
            <w:proofErr w:type="gramEnd"/>
            <w:r w:rsidR="003B50F8">
              <w:rPr>
                <w:rFonts w:ascii="Arial" w:hAnsi="Arial" w:cs="Arial"/>
              </w:rPr>
              <w:t xml:space="preserve"> as a SAE because </w:t>
            </w:r>
            <w:r w:rsidR="00990D14">
              <w:rPr>
                <w:rFonts w:ascii="Arial" w:hAnsi="Arial" w:cs="Arial"/>
              </w:rPr>
              <w:t xml:space="preserve">it was associated with prolonged disability </w:t>
            </w:r>
            <w:r>
              <w:rPr>
                <w:rFonts w:ascii="Arial" w:hAnsi="Arial" w:cs="Arial"/>
              </w:rPr>
              <w:t>(inability to walk for or perform activities of daily living</w:t>
            </w:r>
            <w:r w:rsidR="00990D14">
              <w:rPr>
                <w:rFonts w:ascii="Arial" w:hAnsi="Arial" w:cs="Arial"/>
              </w:rPr>
              <w:t xml:space="preserve">). </w:t>
            </w:r>
            <w:r>
              <w:rPr>
                <w:rFonts w:ascii="Arial" w:hAnsi="Arial" w:cs="Arial"/>
              </w:rPr>
              <w:t>The participant took her l</w:t>
            </w:r>
            <w:r w:rsidR="008B6CB5">
              <w:rPr>
                <w:rFonts w:ascii="Arial" w:hAnsi="Arial" w:cs="Arial"/>
              </w:rPr>
              <w:t xml:space="preserve">ast dose of </w:t>
            </w:r>
            <w:proofErr w:type="spellStart"/>
            <w:r w:rsidR="008B6CB5">
              <w:rPr>
                <w:rFonts w:ascii="Arial" w:hAnsi="Arial" w:cs="Arial"/>
              </w:rPr>
              <w:t>f</w:t>
            </w:r>
            <w:r w:rsidRPr="00A565E1">
              <w:rPr>
                <w:rFonts w:ascii="Arial" w:hAnsi="Arial" w:cs="Arial"/>
              </w:rPr>
              <w:t>lucloxacillin</w:t>
            </w:r>
            <w:proofErr w:type="spellEnd"/>
            <w:r w:rsidRPr="00A565E1">
              <w:rPr>
                <w:rFonts w:ascii="Arial" w:hAnsi="Arial" w:cs="Arial"/>
              </w:rPr>
              <w:t xml:space="preserve"> August 31, 2017. </w:t>
            </w:r>
            <w:r w:rsidR="00990D14">
              <w:rPr>
                <w:rFonts w:ascii="Arial" w:hAnsi="Arial" w:cs="Arial"/>
              </w:rPr>
              <w:t xml:space="preserve">Her lymphedema returned to baseline by September 5, 2017, but her mobility </w:t>
            </w:r>
            <w:proofErr w:type="gramStart"/>
            <w:r w:rsidR="00990D14">
              <w:rPr>
                <w:rFonts w:ascii="Arial" w:hAnsi="Arial" w:cs="Arial"/>
              </w:rPr>
              <w:t>was limited</w:t>
            </w:r>
            <w:proofErr w:type="gramEnd"/>
            <w:r w:rsidR="00990D14">
              <w:rPr>
                <w:rFonts w:ascii="Arial" w:hAnsi="Arial" w:cs="Arial"/>
              </w:rPr>
              <w:t xml:space="preserve"> by her deconditioned state. She </w:t>
            </w:r>
            <w:proofErr w:type="gramStart"/>
            <w:r w:rsidR="00990D14">
              <w:rPr>
                <w:rFonts w:ascii="Arial" w:hAnsi="Arial" w:cs="Arial"/>
              </w:rPr>
              <w:t>was last followed up</w:t>
            </w:r>
            <w:proofErr w:type="gramEnd"/>
            <w:r w:rsidR="00990D14">
              <w:rPr>
                <w:rFonts w:ascii="Arial" w:hAnsi="Arial" w:cs="Arial"/>
              </w:rPr>
              <w:t xml:space="preserve"> on August 7, 2018. At </w:t>
            </w:r>
            <w:r w:rsidR="00990D14">
              <w:rPr>
                <w:rFonts w:ascii="Arial" w:hAnsi="Arial" w:cs="Arial"/>
              </w:rPr>
              <w:lastRenderedPageBreak/>
              <w:t xml:space="preserve">that time, she reported that her </w:t>
            </w:r>
            <w:proofErr w:type="spellStart"/>
            <w:r w:rsidR="00990D14">
              <w:rPr>
                <w:rFonts w:ascii="Arial" w:hAnsi="Arial" w:cs="Arial"/>
              </w:rPr>
              <w:t>diability</w:t>
            </w:r>
            <w:proofErr w:type="spellEnd"/>
            <w:r w:rsidR="00990D14">
              <w:rPr>
                <w:rFonts w:ascii="Arial" w:hAnsi="Arial" w:cs="Arial"/>
              </w:rPr>
              <w:t xml:space="preserve"> had completely resolved on November 1, 2017.</w:t>
            </w:r>
          </w:p>
        </w:tc>
      </w:tr>
    </w:tbl>
    <w:p w14:paraId="7ED08D48" w14:textId="77777777" w:rsidR="00A565E1" w:rsidRDefault="00A565E1" w:rsidP="00A565E1"/>
    <w:tbl>
      <w:tblPr>
        <w:tblStyle w:val="TableGrid"/>
        <w:tblW w:w="8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620"/>
        <w:gridCol w:w="630"/>
        <w:gridCol w:w="1800"/>
        <w:gridCol w:w="2988"/>
      </w:tblGrid>
      <w:tr w:rsidR="00052243" w14:paraId="49E585A7" w14:textId="77777777" w:rsidTr="00457E65">
        <w:tc>
          <w:tcPr>
            <w:tcW w:w="1728" w:type="dxa"/>
          </w:tcPr>
          <w:p w14:paraId="21C904B6" w14:textId="4884696E" w:rsidR="00FA2303" w:rsidRDefault="00FA2303" w:rsidP="00457E65">
            <w:pPr>
              <w:jc w:val="right"/>
              <w:rPr>
                <w:b/>
              </w:rPr>
            </w:pPr>
            <w:r>
              <w:rPr>
                <w:b/>
              </w:rPr>
              <w:t xml:space="preserve">SAE number </w:t>
            </w:r>
            <w:r w:rsidR="00386C6A">
              <w:rPr>
                <w:b/>
              </w:rPr>
              <w:t>6</w:t>
            </w:r>
          </w:p>
          <w:p w14:paraId="37C66FD7" w14:textId="77777777" w:rsidR="00052243" w:rsidRDefault="00052243" w:rsidP="00457E65">
            <w:pPr>
              <w:jc w:val="right"/>
            </w:pPr>
            <w:r w:rsidRPr="0017605A">
              <w:rPr>
                <w:b/>
              </w:rPr>
              <w:t>SAE Term</w:t>
            </w:r>
            <w:r>
              <w:t xml:space="preserve">: </w:t>
            </w:r>
          </w:p>
        </w:tc>
        <w:tc>
          <w:tcPr>
            <w:tcW w:w="7038" w:type="dxa"/>
            <w:gridSpan w:val="4"/>
          </w:tcPr>
          <w:p w14:paraId="52BD6E03" w14:textId="77777777" w:rsidR="00FA2303" w:rsidRDefault="00FA2303" w:rsidP="00457E65"/>
          <w:p w14:paraId="483239F0" w14:textId="77777777" w:rsidR="00052243" w:rsidRDefault="00052243" w:rsidP="00457E65">
            <w:r>
              <w:t>Acute exacerbation of COPD</w:t>
            </w:r>
          </w:p>
        </w:tc>
      </w:tr>
      <w:tr w:rsidR="00052243" w14:paraId="53A5C0B9" w14:textId="77777777" w:rsidTr="00457E65">
        <w:tc>
          <w:tcPr>
            <w:tcW w:w="1728" w:type="dxa"/>
          </w:tcPr>
          <w:p w14:paraId="05452CDE" w14:textId="77777777" w:rsidR="00052243" w:rsidRPr="00EB32DD" w:rsidRDefault="00052243" w:rsidP="00457E65">
            <w:pPr>
              <w:jc w:val="right"/>
              <w:rPr>
                <w:b/>
              </w:rPr>
            </w:pPr>
            <w:r>
              <w:rPr>
                <w:b/>
              </w:rPr>
              <w:t>CTCAE Grade:</w:t>
            </w:r>
          </w:p>
        </w:tc>
        <w:tc>
          <w:tcPr>
            <w:tcW w:w="7038" w:type="dxa"/>
            <w:gridSpan w:val="4"/>
          </w:tcPr>
          <w:p w14:paraId="49D6E1EB" w14:textId="77777777" w:rsidR="00052243" w:rsidRDefault="00052243" w:rsidP="00457E65">
            <w:r>
              <w:t>3</w:t>
            </w:r>
          </w:p>
        </w:tc>
      </w:tr>
      <w:tr w:rsidR="00052243" w14:paraId="2E5E0E29" w14:textId="77777777" w:rsidTr="00457E65">
        <w:tc>
          <w:tcPr>
            <w:tcW w:w="1728" w:type="dxa"/>
          </w:tcPr>
          <w:p w14:paraId="18DF5692" w14:textId="77777777" w:rsidR="00052243" w:rsidRPr="0017605A" w:rsidRDefault="00052243" w:rsidP="00457E65">
            <w:pPr>
              <w:jc w:val="right"/>
              <w:rPr>
                <w:b/>
              </w:rPr>
            </w:pPr>
            <w:r w:rsidRPr="00EB32DD">
              <w:rPr>
                <w:b/>
              </w:rPr>
              <w:t>Serious Criteria</w:t>
            </w:r>
            <w:r>
              <w:t xml:space="preserve">: </w:t>
            </w:r>
          </w:p>
        </w:tc>
        <w:tc>
          <w:tcPr>
            <w:tcW w:w="7038" w:type="dxa"/>
            <w:gridSpan w:val="4"/>
          </w:tcPr>
          <w:p w14:paraId="4B08DEF4" w14:textId="77777777" w:rsidR="00052243" w:rsidRPr="00682BC5" w:rsidRDefault="00052243" w:rsidP="008B6CB5">
            <w:r>
              <w:t>In</w:t>
            </w:r>
            <w:r w:rsidR="006F14A0">
              <w:t>pa</w:t>
            </w:r>
            <w:r w:rsidR="008B6CB5">
              <w:t>tient or</w:t>
            </w:r>
            <w:r>
              <w:t xml:space="preserve"> Prolonged Hospitalization</w:t>
            </w:r>
          </w:p>
        </w:tc>
      </w:tr>
      <w:tr w:rsidR="00052243" w14:paraId="08C370C8" w14:textId="77777777" w:rsidTr="00457E65">
        <w:tc>
          <w:tcPr>
            <w:tcW w:w="1728" w:type="dxa"/>
          </w:tcPr>
          <w:p w14:paraId="6951F45D" w14:textId="77777777" w:rsidR="00052243" w:rsidRDefault="00052243" w:rsidP="00457E65">
            <w:pPr>
              <w:jc w:val="right"/>
            </w:pPr>
            <w:r w:rsidRPr="0017605A">
              <w:rPr>
                <w:b/>
              </w:rPr>
              <w:t>Treatment Arm</w:t>
            </w:r>
            <w:r>
              <w:t xml:space="preserve">: </w:t>
            </w:r>
          </w:p>
        </w:tc>
        <w:tc>
          <w:tcPr>
            <w:tcW w:w="2250" w:type="dxa"/>
            <w:gridSpan w:val="2"/>
          </w:tcPr>
          <w:p w14:paraId="081879D7" w14:textId="77777777" w:rsidR="00052243" w:rsidRDefault="00052243" w:rsidP="00457E65">
            <w:r>
              <w:t>DEC+ALB</w:t>
            </w:r>
          </w:p>
        </w:tc>
        <w:tc>
          <w:tcPr>
            <w:tcW w:w="1800" w:type="dxa"/>
          </w:tcPr>
          <w:p w14:paraId="2E06EFB8" w14:textId="77777777" w:rsidR="00052243" w:rsidRDefault="00052243" w:rsidP="00457E65">
            <w:pPr>
              <w:jc w:val="right"/>
            </w:pPr>
            <w:r w:rsidRPr="0017605A">
              <w:rPr>
                <w:b/>
              </w:rPr>
              <w:t>Treatment Date</w:t>
            </w:r>
            <w:r>
              <w:t xml:space="preserve">: </w:t>
            </w:r>
          </w:p>
        </w:tc>
        <w:tc>
          <w:tcPr>
            <w:tcW w:w="2988" w:type="dxa"/>
          </w:tcPr>
          <w:p w14:paraId="5B272BAD" w14:textId="77777777" w:rsidR="00052243" w:rsidRDefault="00052243" w:rsidP="00052243">
            <w:r>
              <w:t>Aug 21, 2017</w:t>
            </w:r>
          </w:p>
        </w:tc>
      </w:tr>
      <w:tr w:rsidR="00052243" w14:paraId="219E160D" w14:textId="77777777" w:rsidTr="00457E65">
        <w:tc>
          <w:tcPr>
            <w:tcW w:w="3348" w:type="dxa"/>
            <w:gridSpan w:val="2"/>
          </w:tcPr>
          <w:p w14:paraId="4CCA4F78" w14:textId="77777777" w:rsidR="00052243" w:rsidRPr="0017605A" w:rsidRDefault="00052243" w:rsidP="00457E65">
            <w:pPr>
              <w:jc w:val="right"/>
              <w:rPr>
                <w:b/>
              </w:rPr>
            </w:pPr>
            <w:r w:rsidRPr="00EB32DD">
              <w:rPr>
                <w:b/>
              </w:rPr>
              <w:t>Relationship of SAE to Treatment</w:t>
            </w:r>
            <w:r>
              <w:t xml:space="preserve">: </w:t>
            </w:r>
          </w:p>
        </w:tc>
        <w:tc>
          <w:tcPr>
            <w:tcW w:w="5418" w:type="dxa"/>
            <w:gridSpan w:val="3"/>
          </w:tcPr>
          <w:p w14:paraId="08578BE2" w14:textId="77777777" w:rsidR="00052243" w:rsidRPr="00D0635B" w:rsidRDefault="00052243" w:rsidP="00457E65">
            <w:r>
              <w:t>Possibly Related</w:t>
            </w:r>
          </w:p>
        </w:tc>
      </w:tr>
      <w:tr w:rsidR="00052243" w14:paraId="0E9F1232" w14:textId="77777777" w:rsidTr="00457E65">
        <w:tc>
          <w:tcPr>
            <w:tcW w:w="1728" w:type="dxa"/>
          </w:tcPr>
          <w:p w14:paraId="48C0A5FF" w14:textId="77777777" w:rsidR="00052243" w:rsidRDefault="00052243" w:rsidP="00457E65">
            <w:pPr>
              <w:jc w:val="right"/>
            </w:pPr>
            <w:r w:rsidRPr="00EB32DD">
              <w:rPr>
                <w:b/>
              </w:rPr>
              <w:t>SAE Start Date</w:t>
            </w:r>
            <w:r>
              <w:t xml:space="preserve">: </w:t>
            </w:r>
          </w:p>
        </w:tc>
        <w:tc>
          <w:tcPr>
            <w:tcW w:w="2250" w:type="dxa"/>
            <w:gridSpan w:val="2"/>
          </w:tcPr>
          <w:p w14:paraId="21AD0719" w14:textId="77777777" w:rsidR="00052243" w:rsidRDefault="00052243" w:rsidP="00052243">
            <w:r>
              <w:t>Aug 21, 2017</w:t>
            </w:r>
          </w:p>
        </w:tc>
        <w:tc>
          <w:tcPr>
            <w:tcW w:w="1800" w:type="dxa"/>
          </w:tcPr>
          <w:p w14:paraId="05F60D4C" w14:textId="77777777" w:rsidR="00052243" w:rsidRPr="0017605A" w:rsidRDefault="00052243" w:rsidP="00457E65">
            <w:pPr>
              <w:jc w:val="right"/>
              <w:rPr>
                <w:b/>
              </w:rPr>
            </w:pPr>
            <w:r w:rsidRPr="00EB32DD">
              <w:rPr>
                <w:b/>
              </w:rPr>
              <w:t>SAE End Date</w:t>
            </w:r>
            <w:r>
              <w:t xml:space="preserve">: </w:t>
            </w:r>
          </w:p>
        </w:tc>
        <w:tc>
          <w:tcPr>
            <w:tcW w:w="2988" w:type="dxa"/>
          </w:tcPr>
          <w:p w14:paraId="4B68CD76" w14:textId="77777777" w:rsidR="00052243" w:rsidRPr="00D0635B" w:rsidRDefault="00052243" w:rsidP="00052243">
            <w:r>
              <w:t>Aug 26, 2017</w:t>
            </w:r>
          </w:p>
        </w:tc>
      </w:tr>
      <w:tr w:rsidR="00052243" w14:paraId="126198BF" w14:textId="77777777" w:rsidTr="00457E65">
        <w:tc>
          <w:tcPr>
            <w:tcW w:w="1728" w:type="dxa"/>
          </w:tcPr>
          <w:p w14:paraId="0789B1FA" w14:textId="77777777" w:rsidR="00052243" w:rsidRPr="00EB32DD" w:rsidRDefault="00052243" w:rsidP="00457E65">
            <w:pPr>
              <w:jc w:val="right"/>
              <w:rPr>
                <w:b/>
              </w:rPr>
            </w:pPr>
            <w:r w:rsidRPr="00EB32DD">
              <w:rPr>
                <w:b/>
              </w:rPr>
              <w:t>SAE Outcome</w:t>
            </w:r>
            <w:r>
              <w:t xml:space="preserve">: </w:t>
            </w:r>
          </w:p>
        </w:tc>
        <w:tc>
          <w:tcPr>
            <w:tcW w:w="7038" w:type="dxa"/>
            <w:gridSpan w:val="4"/>
          </w:tcPr>
          <w:p w14:paraId="487D84EF" w14:textId="77777777" w:rsidR="00052243" w:rsidRPr="00D0635B" w:rsidRDefault="00052243" w:rsidP="00457E65">
            <w:r>
              <w:t>Recovering/Resolving</w:t>
            </w:r>
          </w:p>
        </w:tc>
      </w:tr>
      <w:tr w:rsidR="00052243" w14:paraId="3C3E21C8" w14:textId="77777777" w:rsidTr="00457E65">
        <w:tc>
          <w:tcPr>
            <w:tcW w:w="1728" w:type="dxa"/>
          </w:tcPr>
          <w:p w14:paraId="452D9BA5" w14:textId="77777777" w:rsidR="00052243" w:rsidRPr="00EB32DD" w:rsidRDefault="00052243" w:rsidP="00457E65">
            <w:pPr>
              <w:jc w:val="right"/>
              <w:rPr>
                <w:b/>
              </w:rPr>
            </w:pPr>
            <w:r>
              <w:rPr>
                <w:b/>
              </w:rPr>
              <w:t>Sex</w:t>
            </w:r>
            <w:r>
              <w:t>:</w:t>
            </w:r>
          </w:p>
        </w:tc>
        <w:tc>
          <w:tcPr>
            <w:tcW w:w="2250" w:type="dxa"/>
            <w:gridSpan w:val="2"/>
          </w:tcPr>
          <w:p w14:paraId="01B8F4FE" w14:textId="77777777" w:rsidR="00052243" w:rsidRDefault="00052243" w:rsidP="00457E65">
            <w:r>
              <w:t>Male</w:t>
            </w:r>
          </w:p>
        </w:tc>
        <w:tc>
          <w:tcPr>
            <w:tcW w:w="1800" w:type="dxa"/>
          </w:tcPr>
          <w:p w14:paraId="2F9B64E7" w14:textId="77777777" w:rsidR="00052243" w:rsidRDefault="00052243" w:rsidP="00457E65">
            <w:pPr>
              <w:jc w:val="right"/>
            </w:pPr>
            <w:r>
              <w:rPr>
                <w:b/>
              </w:rPr>
              <w:t>Age</w:t>
            </w:r>
            <w:r>
              <w:t>:</w:t>
            </w:r>
          </w:p>
        </w:tc>
        <w:tc>
          <w:tcPr>
            <w:tcW w:w="2988" w:type="dxa"/>
          </w:tcPr>
          <w:p w14:paraId="777AC756" w14:textId="77777777" w:rsidR="00052243" w:rsidRDefault="00052243" w:rsidP="00457E65">
            <w:r>
              <w:t>52</w:t>
            </w:r>
          </w:p>
        </w:tc>
      </w:tr>
      <w:tr w:rsidR="00052243" w14:paraId="5F2F830F" w14:textId="77777777" w:rsidTr="00457E65">
        <w:tc>
          <w:tcPr>
            <w:tcW w:w="1728" w:type="dxa"/>
          </w:tcPr>
          <w:p w14:paraId="36A2D318" w14:textId="77777777" w:rsidR="00052243" w:rsidRPr="00EB32DD" w:rsidRDefault="00052243" w:rsidP="00457E65">
            <w:pPr>
              <w:jc w:val="right"/>
              <w:rPr>
                <w:b/>
              </w:rPr>
            </w:pPr>
            <w:r>
              <w:rPr>
                <w:b/>
              </w:rPr>
              <w:t>Description:</w:t>
            </w:r>
          </w:p>
        </w:tc>
        <w:tc>
          <w:tcPr>
            <w:tcW w:w="7038" w:type="dxa"/>
            <w:gridSpan w:val="4"/>
          </w:tcPr>
          <w:p w14:paraId="1F89069A" w14:textId="20E79C72" w:rsidR="00052243" w:rsidRPr="00052243" w:rsidRDefault="00052243" w:rsidP="00052243">
            <w:pPr>
              <w:rPr>
                <w:rFonts w:ascii="Arial" w:hAnsi="Arial" w:cs="Arial"/>
              </w:rPr>
            </w:pPr>
            <w:r w:rsidRPr="00052243">
              <w:rPr>
                <w:rFonts w:ascii="Arial" w:hAnsi="Arial" w:cs="Arial"/>
              </w:rPr>
              <w:t xml:space="preserve">On August 22, 2017, one day after taking the study </w:t>
            </w:r>
            <w:r>
              <w:rPr>
                <w:rFonts w:ascii="Arial" w:hAnsi="Arial" w:cs="Arial"/>
              </w:rPr>
              <w:t>a</w:t>
            </w:r>
            <w:r w:rsidRPr="00052243">
              <w:rPr>
                <w:rFonts w:ascii="Arial" w:hAnsi="Arial" w:cs="Arial"/>
              </w:rPr>
              <w:t xml:space="preserve"> participant enrolled in the two-drug arm of the study in Fiji complained of dizziness and joint pains but was able to mobi</w:t>
            </w:r>
            <w:r w:rsidR="008B6CB5">
              <w:rPr>
                <w:rFonts w:ascii="Arial" w:hAnsi="Arial" w:cs="Arial"/>
              </w:rPr>
              <w:t xml:space="preserve">lize without assistance and </w:t>
            </w:r>
            <w:r w:rsidR="00783C22">
              <w:rPr>
                <w:rFonts w:ascii="Arial" w:hAnsi="Arial" w:cs="Arial"/>
              </w:rPr>
              <w:t>h</w:t>
            </w:r>
            <w:r w:rsidR="008B6CB5">
              <w:rPr>
                <w:rFonts w:ascii="Arial" w:hAnsi="Arial" w:cs="Arial"/>
              </w:rPr>
              <w:t xml:space="preserve">is symptoms did </w:t>
            </w:r>
            <w:r w:rsidRPr="00052243">
              <w:rPr>
                <w:rFonts w:ascii="Arial" w:hAnsi="Arial" w:cs="Arial"/>
              </w:rPr>
              <w:t>not interfere with daily activities. The participant received 2 salbu</w:t>
            </w:r>
            <w:r w:rsidR="008B6CB5">
              <w:rPr>
                <w:rFonts w:ascii="Arial" w:hAnsi="Arial" w:cs="Arial"/>
              </w:rPr>
              <w:t>tamol nebulizer treatments</w:t>
            </w:r>
            <w:r w:rsidRPr="00052243">
              <w:rPr>
                <w:rFonts w:ascii="Arial" w:hAnsi="Arial" w:cs="Arial"/>
              </w:rPr>
              <w:t xml:space="preserve"> and 3 saline nebulizer</w:t>
            </w:r>
            <w:r w:rsidR="008B6CB5">
              <w:rPr>
                <w:rFonts w:ascii="Arial" w:hAnsi="Arial" w:cs="Arial"/>
              </w:rPr>
              <w:t xml:space="preserve"> treatments</w:t>
            </w:r>
            <w:r w:rsidRPr="00052243">
              <w:rPr>
                <w:rFonts w:ascii="Arial" w:hAnsi="Arial" w:cs="Arial"/>
              </w:rPr>
              <w:t xml:space="preserve"> and was sent home after his symptoms settled. </w:t>
            </w:r>
            <w:r w:rsidR="0095438E">
              <w:rPr>
                <w:rFonts w:ascii="Arial" w:hAnsi="Arial" w:cs="Arial"/>
              </w:rPr>
              <w:t>On August 23, 2017</w:t>
            </w:r>
            <w:r w:rsidRPr="00052243">
              <w:rPr>
                <w:rFonts w:ascii="Arial" w:hAnsi="Arial" w:cs="Arial"/>
              </w:rPr>
              <w:t xml:space="preserve"> he was still having difficulty sleeping and was admitted to the hospital for closer monitoring and 2 hourly nebulizers. This case was reported as an SAE </w:t>
            </w:r>
            <w:r w:rsidR="00783C22">
              <w:rPr>
                <w:rFonts w:ascii="Arial" w:hAnsi="Arial" w:cs="Arial"/>
              </w:rPr>
              <w:t>because of</w:t>
            </w:r>
            <w:r w:rsidRPr="00052243">
              <w:rPr>
                <w:rFonts w:ascii="Arial" w:hAnsi="Arial" w:cs="Arial"/>
              </w:rPr>
              <w:t xml:space="preserve"> the hospital admission. He was discharged on August 26</w:t>
            </w:r>
            <w:r>
              <w:rPr>
                <w:rFonts w:ascii="Arial" w:hAnsi="Arial" w:cs="Arial"/>
              </w:rPr>
              <w:t xml:space="preserve"> with salbutamol </w:t>
            </w:r>
            <w:r w:rsidR="0095438E">
              <w:rPr>
                <w:rFonts w:ascii="Arial" w:hAnsi="Arial" w:cs="Arial"/>
              </w:rPr>
              <w:t>inhalers</w:t>
            </w:r>
            <w:r>
              <w:rPr>
                <w:rFonts w:ascii="Arial" w:hAnsi="Arial" w:cs="Arial"/>
              </w:rPr>
              <w:t xml:space="preserve"> as needed and paracetamol for joint pain</w:t>
            </w:r>
            <w:r w:rsidRPr="00052243">
              <w:rPr>
                <w:rFonts w:ascii="Arial" w:hAnsi="Arial" w:cs="Arial"/>
              </w:rPr>
              <w:t xml:space="preserve">. </w:t>
            </w:r>
          </w:p>
          <w:p w14:paraId="66CF1557" w14:textId="77777777" w:rsidR="00052243" w:rsidRPr="00052243" w:rsidRDefault="00052243" w:rsidP="00052243">
            <w:pPr>
              <w:rPr>
                <w:rFonts w:ascii="Arial" w:hAnsi="Arial" w:cs="Arial"/>
              </w:rPr>
            </w:pPr>
          </w:p>
          <w:p w14:paraId="31728AD1" w14:textId="77777777" w:rsidR="00052243" w:rsidRPr="00052243" w:rsidRDefault="00052243" w:rsidP="00052243">
            <w:pPr>
              <w:rPr>
                <w:rFonts w:ascii="Arial" w:hAnsi="Arial" w:cs="Arial"/>
              </w:rPr>
            </w:pPr>
            <w:r w:rsidRPr="00052243">
              <w:rPr>
                <w:rFonts w:ascii="Arial" w:hAnsi="Arial" w:cs="Arial"/>
              </w:rPr>
              <w:t>The participant had</w:t>
            </w:r>
            <w:r w:rsidR="0095438E">
              <w:rPr>
                <w:rFonts w:ascii="Arial" w:hAnsi="Arial" w:cs="Arial"/>
              </w:rPr>
              <w:t xml:space="preserve"> a known history of COPD and had</w:t>
            </w:r>
            <w:r w:rsidRPr="00052243">
              <w:rPr>
                <w:rFonts w:ascii="Arial" w:hAnsi="Arial" w:cs="Arial"/>
              </w:rPr>
              <w:t xml:space="preserve"> been admitted to hospital for exacerbation of COPD several times since 2015. His most recent hospitalization was on July 20-27, 2017. </w:t>
            </w:r>
          </w:p>
          <w:p w14:paraId="12443019" w14:textId="77777777" w:rsidR="00052243" w:rsidRPr="00052243" w:rsidRDefault="00052243" w:rsidP="00052243">
            <w:pPr>
              <w:rPr>
                <w:rFonts w:ascii="Arial" w:hAnsi="Arial" w:cs="Arial"/>
              </w:rPr>
            </w:pPr>
          </w:p>
          <w:p w14:paraId="5CF5DD16" w14:textId="2B76D321" w:rsidR="00052243" w:rsidRDefault="00052243" w:rsidP="00093E4B">
            <w:r w:rsidRPr="00052243">
              <w:rPr>
                <w:rFonts w:ascii="Arial" w:hAnsi="Arial" w:cs="Arial"/>
              </w:rPr>
              <w:t xml:space="preserve">The relationship of the study drug to the SAE was determined as possibly related (impossible to rule out). Respiratory symptoms can occur after treatment of lymphatic </w:t>
            </w:r>
            <w:proofErr w:type="spellStart"/>
            <w:r w:rsidRPr="00052243">
              <w:rPr>
                <w:rFonts w:ascii="Arial" w:hAnsi="Arial" w:cs="Arial"/>
              </w:rPr>
              <w:t>filariasi</w:t>
            </w:r>
            <w:r w:rsidR="0095438E">
              <w:rPr>
                <w:rFonts w:ascii="Arial" w:hAnsi="Arial" w:cs="Arial"/>
              </w:rPr>
              <w:t>s</w:t>
            </w:r>
            <w:proofErr w:type="spellEnd"/>
            <w:r w:rsidR="0095438E">
              <w:rPr>
                <w:rFonts w:ascii="Arial" w:hAnsi="Arial" w:cs="Arial"/>
              </w:rPr>
              <w:t xml:space="preserve"> with DEC. The participant had a positive filarial antigen test a</w:t>
            </w:r>
            <w:r w:rsidRPr="00052243">
              <w:rPr>
                <w:rFonts w:ascii="Arial" w:hAnsi="Arial" w:cs="Arial"/>
              </w:rPr>
              <w:t>nd had 262 microfilaria</w:t>
            </w:r>
            <w:r w:rsidR="0095438E">
              <w:rPr>
                <w:rFonts w:ascii="Arial" w:hAnsi="Arial" w:cs="Arial"/>
              </w:rPr>
              <w:t xml:space="preserve">e per 60 </w:t>
            </w:r>
            <w:r w:rsidR="00093E4B">
              <w:rPr>
                <w:rFonts w:ascii="Arial" w:hAnsi="Arial" w:cs="Arial"/>
              </w:rPr>
              <w:t xml:space="preserve">µl </w:t>
            </w:r>
            <w:r w:rsidR="0095438E">
              <w:rPr>
                <w:rFonts w:ascii="Arial" w:hAnsi="Arial" w:cs="Arial"/>
              </w:rPr>
              <w:t>of blood</w:t>
            </w:r>
            <w:r w:rsidR="00093E4B">
              <w:rPr>
                <w:rFonts w:ascii="Arial" w:hAnsi="Arial" w:cs="Arial"/>
              </w:rPr>
              <w:t xml:space="preserve"> p</w:t>
            </w:r>
            <w:r w:rsidR="00783C22">
              <w:rPr>
                <w:rFonts w:ascii="Arial" w:hAnsi="Arial" w:cs="Arial"/>
              </w:rPr>
              <w:t xml:space="preserve">rior to treatment. </w:t>
            </w:r>
            <w:r w:rsidR="0095438E">
              <w:rPr>
                <w:rFonts w:ascii="Arial" w:hAnsi="Arial" w:cs="Arial"/>
              </w:rPr>
              <w:t xml:space="preserve">However, his long history of COPD and hospitalization one month prior to treatment made it difficult to know whether anti-filarial treatment caused this SAE.  </w:t>
            </w:r>
          </w:p>
        </w:tc>
      </w:tr>
    </w:tbl>
    <w:p w14:paraId="3CC3D022" w14:textId="77777777" w:rsidR="00052243" w:rsidRDefault="00052243" w:rsidP="00052243"/>
    <w:p w14:paraId="3F148197" w14:textId="77777777" w:rsidR="00052243" w:rsidRDefault="00052243" w:rsidP="00052243"/>
    <w:p w14:paraId="10BC6483" w14:textId="77777777" w:rsidR="001B3EF4" w:rsidRDefault="001B3EF4"/>
    <w:sectPr w:rsidR="001B3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F6"/>
    <w:rsid w:val="00052243"/>
    <w:rsid w:val="00093E4B"/>
    <w:rsid w:val="000D6A1A"/>
    <w:rsid w:val="00120F61"/>
    <w:rsid w:val="0014328B"/>
    <w:rsid w:val="001732CB"/>
    <w:rsid w:val="0017605A"/>
    <w:rsid w:val="001B3EF4"/>
    <w:rsid w:val="001E26E7"/>
    <w:rsid w:val="002532A1"/>
    <w:rsid w:val="002D55E0"/>
    <w:rsid w:val="00314942"/>
    <w:rsid w:val="00386C6A"/>
    <w:rsid w:val="003B307F"/>
    <w:rsid w:val="003B50F8"/>
    <w:rsid w:val="005E2F89"/>
    <w:rsid w:val="00682BC5"/>
    <w:rsid w:val="00692695"/>
    <w:rsid w:val="006F14A0"/>
    <w:rsid w:val="00783C22"/>
    <w:rsid w:val="007D605E"/>
    <w:rsid w:val="008614F6"/>
    <w:rsid w:val="008B6CB5"/>
    <w:rsid w:val="00945992"/>
    <w:rsid w:val="0095438E"/>
    <w:rsid w:val="00990D14"/>
    <w:rsid w:val="009A65F8"/>
    <w:rsid w:val="00A53C22"/>
    <w:rsid w:val="00A565E1"/>
    <w:rsid w:val="00AC0C99"/>
    <w:rsid w:val="00BA103F"/>
    <w:rsid w:val="00C230E8"/>
    <w:rsid w:val="00D0635B"/>
    <w:rsid w:val="00D50500"/>
    <w:rsid w:val="00D93F4D"/>
    <w:rsid w:val="00DD2711"/>
    <w:rsid w:val="00EB32DD"/>
    <w:rsid w:val="00ED3B7B"/>
    <w:rsid w:val="00FA2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204B1"/>
  <w15:docId w15:val="{39BFFC0A-39DA-4F88-87CC-6C574E6CE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6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605A"/>
    <w:rPr>
      <w:sz w:val="16"/>
      <w:szCs w:val="16"/>
    </w:rPr>
  </w:style>
  <w:style w:type="paragraph" w:styleId="CommentText">
    <w:name w:val="annotation text"/>
    <w:basedOn w:val="Normal"/>
    <w:link w:val="CommentTextChar"/>
    <w:uiPriority w:val="99"/>
    <w:semiHidden/>
    <w:unhideWhenUsed/>
    <w:rsid w:val="0017605A"/>
    <w:pPr>
      <w:spacing w:line="240" w:lineRule="auto"/>
    </w:pPr>
    <w:rPr>
      <w:sz w:val="20"/>
      <w:szCs w:val="20"/>
    </w:rPr>
  </w:style>
  <w:style w:type="character" w:customStyle="1" w:styleId="CommentTextChar">
    <w:name w:val="Comment Text Char"/>
    <w:basedOn w:val="DefaultParagraphFont"/>
    <w:link w:val="CommentText"/>
    <w:uiPriority w:val="99"/>
    <w:semiHidden/>
    <w:rsid w:val="0017605A"/>
    <w:rPr>
      <w:sz w:val="20"/>
      <w:szCs w:val="20"/>
    </w:rPr>
  </w:style>
  <w:style w:type="paragraph" w:styleId="CommentSubject">
    <w:name w:val="annotation subject"/>
    <w:basedOn w:val="CommentText"/>
    <w:next w:val="CommentText"/>
    <w:link w:val="CommentSubjectChar"/>
    <w:uiPriority w:val="99"/>
    <w:semiHidden/>
    <w:unhideWhenUsed/>
    <w:rsid w:val="0017605A"/>
    <w:rPr>
      <w:b/>
      <w:bCs/>
    </w:rPr>
  </w:style>
  <w:style w:type="character" w:customStyle="1" w:styleId="CommentSubjectChar">
    <w:name w:val="Comment Subject Char"/>
    <w:basedOn w:val="CommentTextChar"/>
    <w:link w:val="CommentSubject"/>
    <w:uiPriority w:val="99"/>
    <w:semiHidden/>
    <w:rsid w:val="0017605A"/>
    <w:rPr>
      <w:b/>
      <w:bCs/>
      <w:sz w:val="20"/>
      <w:szCs w:val="20"/>
    </w:rPr>
  </w:style>
  <w:style w:type="paragraph" w:styleId="BalloonText">
    <w:name w:val="Balloon Text"/>
    <w:basedOn w:val="Normal"/>
    <w:link w:val="BalloonTextChar"/>
    <w:uiPriority w:val="99"/>
    <w:semiHidden/>
    <w:unhideWhenUsed/>
    <w:rsid w:val="00176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0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805331">
      <w:bodyDiv w:val="1"/>
      <w:marLeft w:val="0"/>
      <w:marRight w:val="0"/>
      <w:marTop w:val="0"/>
      <w:marBottom w:val="0"/>
      <w:divBdr>
        <w:top w:val="none" w:sz="0" w:space="0" w:color="auto"/>
        <w:left w:val="none" w:sz="0" w:space="0" w:color="auto"/>
        <w:bottom w:val="none" w:sz="0" w:space="0" w:color="auto"/>
        <w:right w:val="none" w:sz="0" w:space="0" w:color="auto"/>
      </w:divBdr>
    </w:div>
    <w:div w:id="185830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C3F49-1FF5-4820-943D-E601A4D5F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1438</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jbogus</dc:creator>
  <cp:lastModifiedBy>Weil, Gary</cp:lastModifiedBy>
  <cp:revision>2</cp:revision>
  <dcterms:created xsi:type="dcterms:W3CDTF">2019-05-08T21:05:00Z</dcterms:created>
  <dcterms:modified xsi:type="dcterms:W3CDTF">2019-05-08T21:05:00Z</dcterms:modified>
</cp:coreProperties>
</file>