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A50" w:rsidRPr="00122A50" w:rsidRDefault="00122A50" w:rsidP="00122A50">
      <w:pPr>
        <w:pStyle w:val="NoSpacing"/>
        <w:spacing w:line="480" w:lineRule="auto"/>
        <w:rPr>
          <w:rFonts w:cstheme="minorHAnsi"/>
          <w:b/>
          <w:bCs/>
          <w:szCs w:val="20"/>
        </w:rPr>
      </w:pPr>
      <w:proofErr w:type="spellStart"/>
      <w:r w:rsidRPr="00122A50">
        <w:rPr>
          <w:rFonts w:cstheme="minorHAnsi"/>
          <w:b/>
          <w:bCs/>
          <w:szCs w:val="20"/>
        </w:rPr>
        <w:t>Supplemetnary</w:t>
      </w:r>
      <w:proofErr w:type="spellEnd"/>
      <w:r w:rsidRPr="00122A50">
        <w:rPr>
          <w:rFonts w:cstheme="minorHAnsi"/>
          <w:b/>
          <w:bCs/>
          <w:szCs w:val="20"/>
        </w:rPr>
        <w:t xml:space="preserve"> Figure Legends</w:t>
      </w:r>
    </w:p>
    <w:p w:rsidR="00122A50" w:rsidRPr="00122A50" w:rsidRDefault="00122A50" w:rsidP="00122A50">
      <w:pPr>
        <w:pStyle w:val="NoSpacing"/>
        <w:spacing w:line="480" w:lineRule="auto"/>
        <w:rPr>
          <w:rFonts w:cstheme="minorHAnsi"/>
          <w:b/>
          <w:bCs/>
          <w:szCs w:val="20"/>
        </w:rPr>
      </w:pPr>
    </w:p>
    <w:p w:rsidR="00122A50" w:rsidRPr="00122A50" w:rsidRDefault="00122A50" w:rsidP="00122A50">
      <w:pPr>
        <w:pStyle w:val="NoSpacing"/>
        <w:spacing w:line="480" w:lineRule="auto"/>
        <w:rPr>
          <w:rFonts w:cstheme="minorHAnsi"/>
          <w:szCs w:val="20"/>
        </w:rPr>
      </w:pPr>
      <w:r w:rsidRPr="00122A50">
        <w:rPr>
          <w:rFonts w:cstheme="minorHAnsi"/>
          <w:b/>
          <w:bCs/>
          <w:szCs w:val="20"/>
        </w:rPr>
        <w:t xml:space="preserve">Figure S1. Seasonal changes in </w:t>
      </w:r>
      <w:proofErr w:type="spellStart"/>
      <w:r w:rsidRPr="00122A50">
        <w:rPr>
          <w:rFonts w:cstheme="minorHAnsi"/>
          <w:b/>
          <w:bCs/>
          <w:iCs/>
          <w:szCs w:val="20"/>
        </w:rPr>
        <w:t>Abc</w:t>
      </w:r>
      <w:proofErr w:type="spellEnd"/>
      <w:r w:rsidRPr="00122A50">
        <w:rPr>
          <w:rFonts w:cstheme="minorHAnsi"/>
          <w:b/>
          <w:bCs/>
          <w:i/>
          <w:iCs/>
          <w:szCs w:val="20"/>
        </w:rPr>
        <w:t xml:space="preserve"> </w:t>
      </w:r>
      <w:r w:rsidRPr="00122A50">
        <w:rPr>
          <w:rFonts w:cstheme="minorHAnsi"/>
          <w:b/>
          <w:bCs/>
          <w:szCs w:val="20"/>
        </w:rPr>
        <w:t xml:space="preserve">occurrence is inversely related to antibiotic resistance rates. </w:t>
      </w:r>
      <w:r w:rsidRPr="00122A50">
        <w:rPr>
          <w:rFonts w:cstheme="minorHAnsi"/>
          <w:szCs w:val="20"/>
        </w:rPr>
        <w:t xml:space="preserve">In both panels, values correspond to total </w:t>
      </w:r>
      <w:proofErr w:type="spellStart"/>
      <w:r w:rsidRPr="00122A50">
        <w:rPr>
          <w:rFonts w:cstheme="minorHAnsi"/>
          <w:szCs w:val="20"/>
        </w:rPr>
        <w:t>Abc</w:t>
      </w:r>
      <w:proofErr w:type="spellEnd"/>
      <w:r w:rsidRPr="00122A50">
        <w:rPr>
          <w:rFonts w:cstheme="minorHAnsi"/>
          <w:i/>
          <w:iCs/>
          <w:szCs w:val="20"/>
        </w:rPr>
        <w:t xml:space="preserve"> </w:t>
      </w:r>
      <w:r w:rsidRPr="00122A50">
        <w:rPr>
          <w:rFonts w:cstheme="minorHAnsi"/>
          <w:szCs w:val="20"/>
        </w:rPr>
        <w:t xml:space="preserve">isolates identified in each seasonal quarter.  Amounts of isolation events per quarter are normalized as a proportion of total events in the corresponding year (solid black lines, left y-axis).  Dashed lines plot the quarterly resistance rates against commonly tested intravenous (top panel) and oral (bottom panel) antibiotics.  Shaded areas highlight Q3 and Q4.   </w:t>
      </w:r>
    </w:p>
    <w:p w:rsidR="00122A50" w:rsidRPr="00122A50" w:rsidRDefault="00122A50" w:rsidP="00122A50">
      <w:pPr>
        <w:pStyle w:val="NoSpacing"/>
        <w:spacing w:line="480" w:lineRule="auto"/>
        <w:rPr>
          <w:rFonts w:cstheme="minorHAnsi"/>
          <w:szCs w:val="20"/>
        </w:rPr>
      </w:pPr>
    </w:p>
    <w:p w:rsidR="00122A50" w:rsidRPr="00122A50" w:rsidRDefault="00122A50" w:rsidP="00122A50">
      <w:pPr>
        <w:pStyle w:val="NoSpacing"/>
        <w:spacing w:line="480" w:lineRule="auto"/>
        <w:rPr>
          <w:rFonts w:cstheme="minorHAnsi"/>
          <w:szCs w:val="20"/>
        </w:rPr>
      </w:pPr>
      <w:r w:rsidRPr="00122A50">
        <w:rPr>
          <w:rFonts w:cstheme="minorHAnsi"/>
          <w:b/>
          <w:bCs/>
          <w:szCs w:val="20"/>
        </w:rPr>
        <w:t xml:space="preserve">Figure S2. Seasonality is exhibited only by </w:t>
      </w:r>
      <w:proofErr w:type="spellStart"/>
      <w:r w:rsidRPr="00122A50">
        <w:rPr>
          <w:rFonts w:cstheme="minorHAnsi"/>
          <w:b/>
          <w:bCs/>
          <w:szCs w:val="20"/>
        </w:rPr>
        <w:t>Abc</w:t>
      </w:r>
      <w:proofErr w:type="spellEnd"/>
      <w:r w:rsidRPr="00122A50">
        <w:rPr>
          <w:rFonts w:cstheme="minorHAnsi"/>
          <w:b/>
          <w:bCs/>
          <w:i/>
          <w:iCs/>
          <w:szCs w:val="20"/>
        </w:rPr>
        <w:t xml:space="preserve"> </w:t>
      </w:r>
      <w:r w:rsidRPr="00122A50">
        <w:rPr>
          <w:rFonts w:cstheme="minorHAnsi"/>
          <w:b/>
          <w:bCs/>
          <w:szCs w:val="20"/>
        </w:rPr>
        <w:t xml:space="preserve">clinical isolates that are susceptible to antibiotics, independent of antibiotic class. </w:t>
      </w:r>
      <w:r w:rsidRPr="00122A50">
        <w:rPr>
          <w:rFonts w:cstheme="minorHAnsi"/>
          <w:szCs w:val="20"/>
        </w:rPr>
        <w:t xml:space="preserve">Each graph depicts all isolates grouped according to their susceptibility to one antibiotic or antibiotic class. The amount of antibiotic resistant (R) or susceptible (S) isolates occurring in each quarter were normalized as a proportion of total isolates for that year. Multiyear Q2-Q4 averages were compared to corresponding Q1 averages, by independent t-test.  #, </w:t>
      </w:r>
      <w:r w:rsidRPr="00122A50">
        <w:rPr>
          <w:rFonts w:cstheme="minorHAnsi"/>
          <w:i/>
          <w:iCs/>
          <w:szCs w:val="20"/>
        </w:rPr>
        <w:t>p</w:t>
      </w:r>
      <w:r w:rsidRPr="00122A50">
        <w:rPr>
          <w:rFonts w:cstheme="minorHAnsi"/>
          <w:szCs w:val="20"/>
        </w:rPr>
        <w:t xml:space="preserve">≤0.005. Non-significant </w:t>
      </w:r>
      <w:r w:rsidRPr="00122A50">
        <w:rPr>
          <w:rFonts w:cstheme="minorHAnsi"/>
          <w:i/>
          <w:iCs/>
          <w:szCs w:val="20"/>
        </w:rPr>
        <w:t>p-</w:t>
      </w:r>
      <w:r w:rsidRPr="00122A50">
        <w:rPr>
          <w:rFonts w:cstheme="minorHAnsi"/>
          <w:szCs w:val="20"/>
        </w:rPr>
        <w:t xml:space="preserve">values &lt;0.2 are noted. In all panels, error bars represent standard deviations. TZP/TIM, </w:t>
      </w:r>
      <w:proofErr w:type="spellStart"/>
      <w:r w:rsidRPr="00122A50">
        <w:rPr>
          <w:rFonts w:cstheme="minorHAnsi"/>
          <w:szCs w:val="20"/>
        </w:rPr>
        <w:t>piperacillin-tazobactam</w:t>
      </w:r>
      <w:proofErr w:type="spellEnd"/>
      <w:r w:rsidRPr="00122A50">
        <w:rPr>
          <w:rFonts w:cstheme="minorHAnsi"/>
          <w:szCs w:val="20"/>
        </w:rPr>
        <w:t>/</w:t>
      </w:r>
      <w:proofErr w:type="spellStart"/>
      <w:r w:rsidRPr="00122A50">
        <w:rPr>
          <w:rFonts w:cstheme="minorHAnsi"/>
          <w:szCs w:val="20"/>
        </w:rPr>
        <w:t>ticarcillin-clavulanate</w:t>
      </w:r>
      <w:proofErr w:type="spellEnd"/>
      <w:r w:rsidRPr="00122A50">
        <w:rPr>
          <w:rFonts w:cstheme="minorHAnsi"/>
          <w:szCs w:val="20"/>
        </w:rPr>
        <w:t xml:space="preserve">; MEM/IPM, </w:t>
      </w:r>
      <w:proofErr w:type="spellStart"/>
      <w:r w:rsidRPr="00122A50">
        <w:rPr>
          <w:rFonts w:cstheme="minorHAnsi"/>
          <w:szCs w:val="20"/>
        </w:rPr>
        <w:t>meropenem</w:t>
      </w:r>
      <w:proofErr w:type="spellEnd"/>
      <w:r w:rsidRPr="00122A50">
        <w:rPr>
          <w:rFonts w:cstheme="minorHAnsi"/>
          <w:szCs w:val="20"/>
        </w:rPr>
        <w:t>/</w:t>
      </w:r>
      <w:proofErr w:type="spellStart"/>
      <w:r w:rsidRPr="00122A50">
        <w:rPr>
          <w:rFonts w:cstheme="minorHAnsi"/>
          <w:szCs w:val="20"/>
        </w:rPr>
        <w:t>imipenem</w:t>
      </w:r>
      <w:proofErr w:type="spellEnd"/>
      <w:r w:rsidRPr="00122A50">
        <w:rPr>
          <w:rFonts w:cstheme="minorHAnsi"/>
          <w:szCs w:val="20"/>
        </w:rPr>
        <w:t xml:space="preserve">; CRO, </w:t>
      </w:r>
      <w:proofErr w:type="spellStart"/>
      <w:r w:rsidRPr="00122A50">
        <w:rPr>
          <w:rFonts w:cstheme="minorHAnsi"/>
          <w:szCs w:val="20"/>
        </w:rPr>
        <w:t>ceftriaxone</w:t>
      </w:r>
      <w:proofErr w:type="spellEnd"/>
      <w:r w:rsidRPr="00122A50">
        <w:rPr>
          <w:rFonts w:cstheme="minorHAnsi"/>
          <w:szCs w:val="20"/>
        </w:rPr>
        <w:t xml:space="preserve">; FEP, </w:t>
      </w:r>
      <w:proofErr w:type="spellStart"/>
      <w:r w:rsidRPr="00122A50">
        <w:rPr>
          <w:rFonts w:cstheme="minorHAnsi"/>
          <w:szCs w:val="20"/>
        </w:rPr>
        <w:t>cefepime</w:t>
      </w:r>
      <w:proofErr w:type="spellEnd"/>
      <w:r w:rsidRPr="00122A50">
        <w:rPr>
          <w:rFonts w:cstheme="minorHAnsi"/>
          <w:szCs w:val="20"/>
        </w:rPr>
        <w:t xml:space="preserve">; CAZ, </w:t>
      </w:r>
      <w:proofErr w:type="spellStart"/>
      <w:r w:rsidRPr="00122A50">
        <w:rPr>
          <w:rFonts w:cstheme="minorHAnsi"/>
          <w:szCs w:val="20"/>
        </w:rPr>
        <w:t>ceftazidime</w:t>
      </w:r>
      <w:proofErr w:type="spellEnd"/>
      <w:r w:rsidRPr="00122A50">
        <w:rPr>
          <w:rFonts w:cstheme="minorHAnsi"/>
          <w:szCs w:val="20"/>
        </w:rPr>
        <w:t xml:space="preserve">; SAM, </w:t>
      </w:r>
      <w:proofErr w:type="spellStart"/>
      <w:r w:rsidRPr="00122A50">
        <w:rPr>
          <w:rFonts w:cstheme="minorHAnsi"/>
          <w:szCs w:val="20"/>
        </w:rPr>
        <w:t>ampicillin-sulbactam</w:t>
      </w:r>
      <w:proofErr w:type="spellEnd"/>
      <w:r w:rsidRPr="00122A50">
        <w:rPr>
          <w:rFonts w:cstheme="minorHAnsi"/>
          <w:szCs w:val="20"/>
        </w:rPr>
        <w:t>; TET/DOX, tetracycline/</w:t>
      </w:r>
      <w:proofErr w:type="spellStart"/>
      <w:r w:rsidRPr="00122A50">
        <w:rPr>
          <w:rFonts w:cstheme="minorHAnsi"/>
          <w:szCs w:val="20"/>
        </w:rPr>
        <w:t>doxycycline</w:t>
      </w:r>
      <w:proofErr w:type="spellEnd"/>
      <w:r w:rsidRPr="00122A50">
        <w:rPr>
          <w:rFonts w:cstheme="minorHAnsi"/>
          <w:szCs w:val="20"/>
        </w:rPr>
        <w:t xml:space="preserve">; GM, </w:t>
      </w:r>
      <w:proofErr w:type="spellStart"/>
      <w:r w:rsidRPr="00122A50">
        <w:rPr>
          <w:rFonts w:cstheme="minorHAnsi"/>
          <w:szCs w:val="20"/>
        </w:rPr>
        <w:t>gentamicin</w:t>
      </w:r>
      <w:proofErr w:type="spellEnd"/>
      <w:r w:rsidRPr="00122A50">
        <w:rPr>
          <w:rFonts w:cstheme="minorHAnsi"/>
          <w:szCs w:val="20"/>
        </w:rPr>
        <w:t xml:space="preserve">; SXT, </w:t>
      </w:r>
      <w:proofErr w:type="spellStart"/>
      <w:r w:rsidRPr="00122A50">
        <w:rPr>
          <w:rFonts w:cstheme="minorHAnsi"/>
          <w:szCs w:val="20"/>
        </w:rPr>
        <w:t>trimethoprim-sulfamethoxazole</w:t>
      </w:r>
      <w:proofErr w:type="spellEnd"/>
      <w:r w:rsidRPr="00122A50">
        <w:rPr>
          <w:rFonts w:cstheme="minorHAnsi"/>
          <w:szCs w:val="20"/>
        </w:rPr>
        <w:t>; CIP/LVX, ciprofloxacin/</w:t>
      </w:r>
      <w:proofErr w:type="spellStart"/>
      <w:r w:rsidRPr="00122A50">
        <w:rPr>
          <w:rFonts w:cstheme="minorHAnsi"/>
          <w:szCs w:val="20"/>
        </w:rPr>
        <w:t>levofloxacin</w:t>
      </w:r>
      <w:proofErr w:type="spellEnd"/>
      <w:r w:rsidRPr="00122A50">
        <w:rPr>
          <w:rFonts w:cstheme="minorHAnsi"/>
          <w:szCs w:val="20"/>
        </w:rPr>
        <w:t>.</w:t>
      </w:r>
    </w:p>
    <w:p w:rsidR="00122A50" w:rsidRPr="00122A50" w:rsidRDefault="00122A50" w:rsidP="00122A50">
      <w:pPr>
        <w:pStyle w:val="NoSpacing"/>
        <w:spacing w:line="480" w:lineRule="auto"/>
        <w:rPr>
          <w:rFonts w:cstheme="minorHAnsi"/>
          <w:szCs w:val="20"/>
        </w:rPr>
      </w:pPr>
    </w:p>
    <w:p w:rsidR="00122A50" w:rsidRPr="00122A50" w:rsidRDefault="00122A50" w:rsidP="00122A50">
      <w:pPr>
        <w:pStyle w:val="NoSpacing"/>
        <w:spacing w:line="480" w:lineRule="auto"/>
        <w:rPr>
          <w:rFonts w:cstheme="minorHAnsi"/>
          <w:szCs w:val="20"/>
        </w:rPr>
      </w:pPr>
      <w:r w:rsidRPr="00122A50">
        <w:rPr>
          <w:rFonts w:cstheme="minorHAnsi"/>
          <w:b/>
          <w:bCs/>
          <w:szCs w:val="20"/>
        </w:rPr>
        <w:t xml:space="preserve">Figure S3. </w:t>
      </w:r>
      <w:proofErr w:type="spellStart"/>
      <w:r w:rsidRPr="00122A50">
        <w:rPr>
          <w:rFonts w:cstheme="minorHAnsi"/>
          <w:b/>
          <w:bCs/>
          <w:iCs/>
          <w:szCs w:val="20"/>
        </w:rPr>
        <w:t>Abc</w:t>
      </w:r>
      <w:proofErr w:type="spellEnd"/>
      <w:r w:rsidRPr="00122A50">
        <w:rPr>
          <w:rFonts w:cstheme="minorHAnsi"/>
          <w:b/>
          <w:bCs/>
          <w:iCs/>
          <w:szCs w:val="20"/>
        </w:rPr>
        <w:t xml:space="preserve"> isolates </w:t>
      </w:r>
      <w:r w:rsidRPr="00122A50">
        <w:rPr>
          <w:rFonts w:cstheme="minorHAnsi"/>
          <w:b/>
          <w:bCs/>
          <w:szCs w:val="20"/>
        </w:rPr>
        <w:t xml:space="preserve">exhibit lower antibiotic resistance rates from June to November, independent of antibiotic class and epidemiologic subgroup. </w:t>
      </w:r>
      <w:r w:rsidRPr="00122A50">
        <w:rPr>
          <w:rFonts w:cstheme="minorHAnsi"/>
          <w:szCs w:val="20"/>
        </w:rPr>
        <w:t xml:space="preserve">A) Average resistance rates exhibited by isolates obtained in each quarter.  B) Average MEM/IPM resistance rate exhibited by isolates from each epidemiologic compartment, by quarter.  In both panels, error bars represent standard deviations. Multiyear averages were compared between quarters by independent t test.  For clarity, only </w:t>
      </w:r>
      <w:r w:rsidRPr="00122A50">
        <w:rPr>
          <w:rFonts w:cstheme="minorHAnsi"/>
          <w:i/>
          <w:iCs/>
          <w:szCs w:val="20"/>
        </w:rPr>
        <w:t>p-</w:t>
      </w:r>
      <w:r w:rsidRPr="00122A50">
        <w:rPr>
          <w:rFonts w:cstheme="minorHAnsi"/>
          <w:szCs w:val="20"/>
        </w:rPr>
        <w:t>values under 0.20 are demonstrated. *, p&lt;0.05; **, p≤0.005. TET/DOX, tetracycline/</w:t>
      </w:r>
      <w:proofErr w:type="spellStart"/>
      <w:r w:rsidRPr="00122A50">
        <w:rPr>
          <w:rFonts w:cstheme="minorHAnsi"/>
          <w:szCs w:val="20"/>
        </w:rPr>
        <w:t>doxycycline</w:t>
      </w:r>
      <w:proofErr w:type="spellEnd"/>
      <w:r w:rsidRPr="00122A50">
        <w:rPr>
          <w:rFonts w:cstheme="minorHAnsi"/>
          <w:szCs w:val="20"/>
        </w:rPr>
        <w:t xml:space="preserve">; GM, </w:t>
      </w:r>
      <w:proofErr w:type="spellStart"/>
      <w:r w:rsidRPr="00122A50">
        <w:rPr>
          <w:rFonts w:cstheme="minorHAnsi"/>
          <w:szCs w:val="20"/>
        </w:rPr>
        <w:lastRenderedPageBreak/>
        <w:t>gentamicin</w:t>
      </w:r>
      <w:proofErr w:type="spellEnd"/>
      <w:r w:rsidRPr="00122A50">
        <w:rPr>
          <w:rFonts w:cstheme="minorHAnsi"/>
          <w:szCs w:val="20"/>
        </w:rPr>
        <w:t xml:space="preserve">; SXT, </w:t>
      </w:r>
      <w:proofErr w:type="spellStart"/>
      <w:r w:rsidRPr="00122A50">
        <w:rPr>
          <w:rFonts w:cstheme="minorHAnsi"/>
          <w:szCs w:val="20"/>
        </w:rPr>
        <w:t>trimethoprim-sulfamethoxazole</w:t>
      </w:r>
      <w:proofErr w:type="spellEnd"/>
      <w:r w:rsidRPr="00122A50">
        <w:rPr>
          <w:rFonts w:cstheme="minorHAnsi"/>
          <w:szCs w:val="20"/>
        </w:rPr>
        <w:t>; CIP/LVX, ciprofloxacin/</w:t>
      </w:r>
      <w:proofErr w:type="spellStart"/>
      <w:r w:rsidRPr="00122A50">
        <w:rPr>
          <w:rFonts w:cstheme="minorHAnsi"/>
          <w:szCs w:val="20"/>
        </w:rPr>
        <w:t>levofloxacin</w:t>
      </w:r>
      <w:proofErr w:type="spellEnd"/>
      <w:r w:rsidRPr="00122A50">
        <w:rPr>
          <w:rFonts w:cstheme="minorHAnsi"/>
          <w:szCs w:val="20"/>
        </w:rPr>
        <w:t xml:space="preserve">; TZP/TIM, </w:t>
      </w:r>
      <w:proofErr w:type="spellStart"/>
      <w:r w:rsidRPr="00122A50">
        <w:rPr>
          <w:rFonts w:cstheme="minorHAnsi"/>
          <w:szCs w:val="20"/>
        </w:rPr>
        <w:t>piperacillin-tazobactam</w:t>
      </w:r>
      <w:proofErr w:type="spellEnd"/>
      <w:r w:rsidRPr="00122A50">
        <w:rPr>
          <w:rFonts w:cstheme="minorHAnsi"/>
          <w:szCs w:val="20"/>
        </w:rPr>
        <w:t>/</w:t>
      </w:r>
      <w:proofErr w:type="spellStart"/>
      <w:r w:rsidRPr="00122A50">
        <w:rPr>
          <w:rFonts w:cstheme="minorHAnsi"/>
          <w:szCs w:val="20"/>
        </w:rPr>
        <w:t>ticarcillin-clavulanate</w:t>
      </w:r>
      <w:proofErr w:type="spellEnd"/>
      <w:r w:rsidRPr="00122A50">
        <w:rPr>
          <w:rFonts w:cstheme="minorHAnsi"/>
          <w:szCs w:val="20"/>
        </w:rPr>
        <w:t xml:space="preserve">; SAM, </w:t>
      </w:r>
      <w:proofErr w:type="spellStart"/>
      <w:r w:rsidRPr="00122A50">
        <w:rPr>
          <w:rFonts w:cstheme="minorHAnsi"/>
          <w:szCs w:val="20"/>
        </w:rPr>
        <w:t>ampicillin-sulbactam</w:t>
      </w:r>
      <w:proofErr w:type="spellEnd"/>
      <w:r w:rsidRPr="00122A50">
        <w:rPr>
          <w:rFonts w:cstheme="minorHAnsi"/>
          <w:szCs w:val="20"/>
        </w:rPr>
        <w:t xml:space="preserve">; IMI/MEM, </w:t>
      </w:r>
      <w:proofErr w:type="spellStart"/>
      <w:r w:rsidRPr="00122A50">
        <w:rPr>
          <w:rFonts w:cstheme="minorHAnsi"/>
          <w:szCs w:val="20"/>
        </w:rPr>
        <w:t>imipenem</w:t>
      </w:r>
      <w:proofErr w:type="spellEnd"/>
      <w:r w:rsidRPr="00122A50">
        <w:rPr>
          <w:rFonts w:cstheme="minorHAnsi"/>
          <w:szCs w:val="20"/>
        </w:rPr>
        <w:t>/</w:t>
      </w:r>
      <w:proofErr w:type="spellStart"/>
      <w:r w:rsidRPr="00122A50">
        <w:rPr>
          <w:rFonts w:cstheme="minorHAnsi"/>
          <w:szCs w:val="20"/>
        </w:rPr>
        <w:t>meropenem</w:t>
      </w:r>
      <w:proofErr w:type="spellEnd"/>
      <w:r w:rsidRPr="00122A50">
        <w:rPr>
          <w:rFonts w:cstheme="minorHAnsi"/>
          <w:szCs w:val="20"/>
        </w:rPr>
        <w:t xml:space="preserve">; CRO, </w:t>
      </w:r>
      <w:proofErr w:type="spellStart"/>
      <w:r w:rsidRPr="00122A50">
        <w:rPr>
          <w:rFonts w:cstheme="minorHAnsi"/>
          <w:szCs w:val="20"/>
        </w:rPr>
        <w:t>ceftriaxone</w:t>
      </w:r>
      <w:proofErr w:type="spellEnd"/>
      <w:r w:rsidRPr="00122A50">
        <w:rPr>
          <w:rFonts w:cstheme="minorHAnsi"/>
          <w:szCs w:val="20"/>
        </w:rPr>
        <w:t xml:space="preserve">; FEP, </w:t>
      </w:r>
      <w:proofErr w:type="spellStart"/>
      <w:r w:rsidRPr="00122A50">
        <w:rPr>
          <w:rFonts w:cstheme="minorHAnsi"/>
          <w:szCs w:val="20"/>
        </w:rPr>
        <w:t>cefepime</w:t>
      </w:r>
      <w:proofErr w:type="spellEnd"/>
      <w:r w:rsidRPr="00122A50">
        <w:rPr>
          <w:rFonts w:cstheme="minorHAnsi"/>
          <w:szCs w:val="20"/>
        </w:rPr>
        <w:t xml:space="preserve">; CAZ, </w:t>
      </w:r>
      <w:proofErr w:type="spellStart"/>
      <w:r w:rsidRPr="00122A50">
        <w:rPr>
          <w:rFonts w:cstheme="minorHAnsi"/>
          <w:szCs w:val="20"/>
        </w:rPr>
        <w:t>ceftazidime</w:t>
      </w:r>
      <w:proofErr w:type="spellEnd"/>
      <w:r w:rsidRPr="00122A50">
        <w:rPr>
          <w:rFonts w:cstheme="minorHAnsi"/>
          <w:szCs w:val="20"/>
        </w:rPr>
        <w:t xml:space="preserve">; HA, hospital-acquired; CA, community-acquired; RESP, respiratory isolates; SST/MSK, skin and soft tissue/musculoskeletal isolates; URI, urinary isolates. </w:t>
      </w:r>
    </w:p>
    <w:p w:rsidR="00122A50" w:rsidRPr="00122A50" w:rsidRDefault="00122A50" w:rsidP="00122A50">
      <w:pPr>
        <w:pStyle w:val="NoSpacing"/>
        <w:spacing w:line="480" w:lineRule="auto"/>
        <w:rPr>
          <w:rFonts w:cstheme="minorHAnsi"/>
          <w:szCs w:val="20"/>
        </w:rPr>
      </w:pPr>
    </w:p>
    <w:p w:rsidR="00122A50" w:rsidRPr="00122A50" w:rsidRDefault="00122A50" w:rsidP="00122A50">
      <w:pPr>
        <w:pStyle w:val="NoSpacing"/>
        <w:spacing w:line="480" w:lineRule="auto"/>
        <w:rPr>
          <w:rFonts w:cstheme="minorHAnsi"/>
          <w:szCs w:val="20"/>
        </w:rPr>
      </w:pPr>
    </w:p>
    <w:p w:rsidR="00943D51" w:rsidRPr="00122A50" w:rsidRDefault="00943D51">
      <w:pPr>
        <w:rPr>
          <w:rFonts w:cstheme="minorHAnsi"/>
          <w:sz w:val="24"/>
        </w:rPr>
      </w:pPr>
    </w:p>
    <w:sectPr w:rsidR="00943D51" w:rsidRPr="00122A50" w:rsidSect="00C8634F">
      <w:pgSz w:w="12240" w:h="15840"/>
      <w:pgMar w:top="1440" w:right="1440" w:bottom="1440" w:left="1440" w:header="720" w:footer="720" w:gutter="0"/>
      <w:lnNumType w:countBy="1" w:restart="continuou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rsids>
    <w:rsidRoot w:val="00122A50"/>
    <w:rsid w:val="00105997"/>
    <w:rsid w:val="00122A50"/>
    <w:rsid w:val="00220EFF"/>
    <w:rsid w:val="002E0BD1"/>
    <w:rsid w:val="00943D51"/>
    <w:rsid w:val="009E1396"/>
    <w:rsid w:val="00B134E5"/>
    <w:rsid w:val="00E934E7"/>
    <w:rsid w:val="00FB4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4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22A50"/>
    <w:pPr>
      <w:spacing w:after="0" w:line="240" w:lineRule="auto"/>
    </w:pPr>
  </w:style>
  <w:style w:type="character" w:customStyle="1" w:styleId="NoSpacingChar">
    <w:name w:val="No Spacing Char"/>
    <w:basedOn w:val="DefaultParagraphFont"/>
    <w:link w:val="NoSpacing"/>
    <w:uiPriority w:val="1"/>
    <w:rsid w:val="00122A50"/>
  </w:style>
  <w:style w:type="character" w:styleId="LineNumber">
    <w:name w:val="line number"/>
    <w:basedOn w:val="DefaultParagraphFont"/>
    <w:uiPriority w:val="99"/>
    <w:semiHidden/>
    <w:unhideWhenUsed/>
    <w:rsid w:val="00122A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2073</Characters>
  <Application>Microsoft Office Word</Application>
  <DocSecurity>0</DocSecurity>
  <Lines>17</Lines>
  <Paragraphs>4</Paragraphs>
  <ScaleCrop>false</ScaleCrop>
  <Company>Amazon.com</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Usha M</dc:creator>
  <cp:lastModifiedBy>Usha M</cp:lastModifiedBy>
  <cp:revision>1</cp:revision>
  <dcterms:created xsi:type="dcterms:W3CDTF">2019-05-23T07:22:00Z</dcterms:created>
  <dcterms:modified xsi:type="dcterms:W3CDTF">2019-05-23T07:22:00Z</dcterms:modified>
</cp:coreProperties>
</file>