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445" w:rsidRPr="00997B76" w:rsidRDefault="00AD6445" w:rsidP="00AD644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Table S1</w:t>
      </w:r>
      <w:r w:rsidRPr="00997B76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. Associations between clinical characteristics an</w:t>
      </w:r>
      <w:r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d antibiotic resistance among </w:t>
      </w:r>
      <w:r>
        <w:rPr>
          <w:rFonts w:ascii="Arial" w:eastAsia="+mn-ea" w:hAnsi="Arial" w:cs="Arial"/>
          <w:b/>
          <w:bCs/>
          <w:iCs/>
          <w:color w:val="000000"/>
          <w:kern w:val="24"/>
          <w:sz w:val="20"/>
          <w:szCs w:val="20"/>
        </w:rPr>
        <w:t>Abc</w:t>
      </w:r>
      <w:r w:rsidRPr="00997B76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 isolates, BJC 2007-2017</w:t>
      </w:r>
    </w:p>
    <w:p w:rsidR="00AD6445" w:rsidRPr="00E83FDA" w:rsidRDefault="00AD6445" w:rsidP="00AD6445">
      <w:pPr>
        <w:pStyle w:val="NoSpacing"/>
        <w:rPr>
          <w:rFonts w:ascii="Arial" w:eastAsia="+mn-ea" w:hAnsi="Arial" w:cs="Arial"/>
          <w:color w:val="000000"/>
          <w:kern w:val="24"/>
          <w:position w:val="5"/>
          <w:sz w:val="20"/>
          <w:szCs w:val="20"/>
          <w:vertAlign w:val="superscript"/>
        </w:rPr>
      </w:pPr>
      <w:r>
        <w:rPr>
          <w:rFonts w:ascii="Arial" w:eastAsia="+mn-ea" w:hAnsi="Arial" w:cs="Arial"/>
          <w:noProof/>
          <w:color w:val="000000"/>
          <w:kern w:val="24"/>
          <w:position w:val="5"/>
          <w:sz w:val="20"/>
          <w:szCs w:val="20"/>
          <w:vertAlign w:val="superscript"/>
          <w:lang w:val="en-IN" w:eastAsia="en-IN"/>
        </w:rPr>
        <w:drawing>
          <wp:inline distT="0" distB="0" distL="0" distR="0" wp14:anchorId="15DFB242" wp14:editId="41C65550">
            <wp:extent cx="6815470" cy="4272529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715" cy="43077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a</w:t>
      </w:r>
      <w:r w:rsidRPr="00341FCD">
        <w:rPr>
          <w:rFonts w:asciiTheme="minorBidi" w:hAnsiTheme="minorBidi"/>
          <w:sz w:val="20"/>
          <w:szCs w:val="20"/>
        </w:rPr>
        <w:t xml:space="preserve"> If isolates were reported as non-susceptible to any antibiotic in this class, it was classified as “non-susceptible" for the entire class.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b</w:t>
      </w:r>
      <w:r w:rsidRPr="00341FCD">
        <w:rPr>
          <w:rFonts w:asciiTheme="minorBidi" w:hAnsiTheme="minorBidi"/>
          <w:sz w:val="20"/>
          <w:szCs w:val="20"/>
        </w:rPr>
        <w:t xml:space="preserve"> Amount of all adult isolates for which data was available regarding susceptibility testing against each antibiotic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c</w:t>
      </w:r>
      <w:r w:rsidRPr="00341FCD">
        <w:rPr>
          <w:rFonts w:asciiTheme="minorBidi" w:hAnsiTheme="minorBidi"/>
          <w:sz w:val="20"/>
          <w:szCs w:val="20"/>
        </w:rPr>
        <w:t xml:space="preserve"> Resistance rate and amount of resistant isolates [%(n)], per category in each row. For example, 52.7% (n=494) of tested nHA isolates were resistant to CAZ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d</w:t>
      </w:r>
      <w:r w:rsidRPr="00341FCD">
        <w:rPr>
          <w:rFonts w:asciiTheme="minorBidi" w:hAnsiTheme="minorBidi"/>
          <w:sz w:val="20"/>
          <w:szCs w:val="20"/>
        </w:rPr>
        <w:t xml:space="preserve"> p-value calculated by chi-squared test.  Isolates from each anatomic source were compared to isolates from all other sites, for each calculation. 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e</w:t>
      </w:r>
      <w:r w:rsidRPr="00341FCD">
        <w:rPr>
          <w:rFonts w:asciiTheme="minorBidi" w:hAnsiTheme="minorBidi"/>
          <w:sz w:val="20"/>
          <w:szCs w:val="20"/>
        </w:rPr>
        <w:t xml:space="preserve"> Average age of patients with resistant and susceptible Ab isolates 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f</w:t>
      </w:r>
      <w:r w:rsidRPr="00341FCD">
        <w:rPr>
          <w:rFonts w:asciiTheme="minorBidi" w:hAnsiTheme="minorBidi"/>
          <w:sz w:val="20"/>
          <w:szCs w:val="20"/>
        </w:rPr>
        <w:t xml:space="preserve"> p-value calculated by independent-sample t-test 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</w:pPr>
      <w:r w:rsidRPr="00341FCD">
        <w:rPr>
          <w:rFonts w:asciiTheme="minorBidi" w:hAnsiTheme="minorBidi"/>
          <w:sz w:val="20"/>
          <w:szCs w:val="20"/>
          <w:vertAlign w:val="superscript"/>
        </w:rPr>
        <w:t>#</w:t>
      </w:r>
      <w:r w:rsidRPr="00341FCD">
        <w:rPr>
          <w:rFonts w:asciiTheme="minorBidi" w:hAnsiTheme="minorBidi"/>
          <w:sz w:val="20"/>
          <w:szCs w:val="20"/>
        </w:rPr>
        <w:t xml:space="preserve"> 50.4%, 42.2% and 29.8% of adult carbapenem-resistant isolates were susceptible to GM, TET/DOX and SAM, respectively</w:t>
      </w:r>
    </w:p>
    <w:p w:rsidR="00AD6445" w:rsidRPr="00341FCD" w:rsidRDefault="00AD6445" w:rsidP="00AD6445">
      <w:pPr>
        <w:pStyle w:val="NoSpacing"/>
        <w:rPr>
          <w:rFonts w:asciiTheme="minorBidi" w:hAnsiTheme="minorBidi"/>
          <w:sz w:val="20"/>
          <w:szCs w:val="20"/>
        </w:rPr>
        <w:sectPr w:rsidR="00AD6445" w:rsidRPr="00341FCD" w:rsidSect="00AD6445">
          <w:pgSz w:w="15840" w:h="12240" w:orient="landscape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 w:rsidRPr="00341FCD">
        <w:rPr>
          <w:rFonts w:asciiTheme="minorBidi" w:hAnsiTheme="minorBidi"/>
          <w:sz w:val="20"/>
          <w:szCs w:val="20"/>
        </w:rPr>
        <w:t>CAZ, ceftazidime; FEP, cefepime; IMI/MEM, imipenem/meropenem; SAM, ampicillin-sulbactam; TZP/TIM, pipercilln-tazobactam/ticarcillin-clavulanate; GM, gentamicin; CIP/LVX, ciprofloxacin/levofloxacin; SXT, trimethoprim-sulfamethoxazole; TET/DOX, tetracycline/doxycycline.</w:t>
      </w:r>
    </w:p>
    <w:p w:rsidR="00AD6445" w:rsidRPr="006E6200" w:rsidRDefault="00AD6445" w:rsidP="00AD644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83FDA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lastRenderedPageBreak/>
        <w:t xml:space="preserve">Table </w:t>
      </w:r>
      <w:r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S2</w:t>
      </w:r>
      <w:r w:rsidRPr="00E83FDA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. Ge</w:t>
      </w:r>
      <w:r w:rsidRPr="006E6200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neral clinical characteristics of </w:t>
      </w:r>
      <w:r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2042</w:t>
      </w:r>
      <w:r w:rsidRPr="006E6200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 </w:t>
      </w:r>
      <w:r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Abc </w:t>
      </w:r>
      <w:r w:rsidRPr="006E6200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isolates, BJC 2007-2017 </w:t>
      </w:r>
    </w:p>
    <w:p w:rsidR="00AD6445" w:rsidRPr="00E83FDA" w:rsidRDefault="00AD6445" w:rsidP="00AD64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IN" w:eastAsia="en-IN"/>
        </w:rPr>
        <w:drawing>
          <wp:inline distT="0" distB="0" distL="0" distR="0" wp14:anchorId="70C3A58B" wp14:editId="1CB2AA47">
            <wp:extent cx="8047787" cy="17969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385" cy="1807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83FDA">
        <w:rPr>
          <w:rFonts w:ascii="Arial" w:hAnsi="Arial" w:cs="Arial"/>
          <w:sz w:val="20"/>
          <w:szCs w:val="20"/>
        </w:rPr>
        <w:t xml:space="preserve"> </w:t>
      </w:r>
    </w:p>
    <w:p w:rsidR="00AD6445" w:rsidRPr="00ED36B6" w:rsidRDefault="00AD6445" w:rsidP="00AD6445">
      <w:pPr>
        <w:rPr>
          <w:rFonts w:ascii="Arial" w:hAnsi="Arial" w:cs="Arial"/>
          <w:i/>
          <w:iCs/>
          <w:sz w:val="20"/>
          <w:szCs w:val="20"/>
        </w:rPr>
      </w:pPr>
      <w:r w:rsidRPr="00E83FDA">
        <w:rPr>
          <w:rFonts w:ascii="Arial" w:hAnsi="Arial" w:cs="Arial"/>
          <w:sz w:val="20"/>
          <w:szCs w:val="20"/>
          <w:vertAlign w:val="superscript"/>
        </w:rPr>
        <w:t xml:space="preserve">a </w:t>
      </w:r>
      <w:r w:rsidRPr="00B22DD4">
        <w:rPr>
          <w:rFonts w:ascii="Arial" w:hAnsi="Arial" w:cs="Arial"/>
          <w:i/>
          <w:iCs/>
          <w:sz w:val="20"/>
          <w:szCs w:val="20"/>
        </w:rPr>
        <w:t>p</w:t>
      </w:r>
      <w:r w:rsidRPr="00B22DD4">
        <w:rPr>
          <w:rFonts w:ascii="Arial" w:hAnsi="Arial" w:cs="Arial"/>
          <w:iCs/>
          <w:sz w:val="20"/>
          <w:szCs w:val="20"/>
        </w:rPr>
        <w:t>-value by chi-squared test, compared across all isolate anatomic sources</w:t>
      </w:r>
    </w:p>
    <w:p w:rsidR="005E1058" w:rsidRDefault="00AD6445" w:rsidP="00AD6445">
      <w:r w:rsidRPr="00ED36B6">
        <w:rPr>
          <w:rFonts w:ascii="Arial" w:hAnsi="Arial" w:cs="Arial"/>
          <w:i/>
          <w:iCs/>
          <w:sz w:val="20"/>
          <w:szCs w:val="20"/>
          <w:vertAlign w:val="superscript"/>
        </w:rPr>
        <w:t>b</w:t>
      </w:r>
      <w:r w:rsidRPr="00ED36B6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2DD4">
        <w:rPr>
          <w:rFonts w:ascii="Arial" w:hAnsi="Arial" w:cs="Arial"/>
          <w:i/>
          <w:iCs/>
          <w:sz w:val="20"/>
          <w:szCs w:val="20"/>
        </w:rPr>
        <w:t>p</w:t>
      </w:r>
      <w:r w:rsidRPr="00B22DD4">
        <w:rPr>
          <w:rFonts w:ascii="Arial" w:hAnsi="Arial" w:cs="Arial"/>
          <w:iCs/>
          <w:sz w:val="20"/>
          <w:szCs w:val="20"/>
        </w:rPr>
        <w:t>-value by chi-squared test, compared between nHA and HA isolates</w:t>
      </w:r>
      <w:bookmarkStart w:id="0" w:name="_GoBack"/>
      <w:bookmarkEnd w:id="0"/>
    </w:p>
    <w:sectPr w:rsidR="005E1058" w:rsidSect="00AD64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45"/>
    <w:rsid w:val="000F2B5C"/>
    <w:rsid w:val="005E1058"/>
    <w:rsid w:val="00AD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7A0A1-34AC-4E83-A133-0091DF47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44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D644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D6445"/>
    <w:rPr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AD6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5387B0A.dotm</Template>
  <TotalTime>1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R</dc:creator>
  <cp:keywords/>
  <dc:description/>
  <cp:lastModifiedBy>Karthik R</cp:lastModifiedBy>
  <cp:revision>1</cp:revision>
  <dcterms:created xsi:type="dcterms:W3CDTF">2019-10-03T23:02:00Z</dcterms:created>
  <dcterms:modified xsi:type="dcterms:W3CDTF">2019-10-03T23:03:00Z</dcterms:modified>
</cp:coreProperties>
</file>