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85E" w:rsidRPr="00AE2D07" w:rsidRDefault="0043185E" w:rsidP="0043185E">
      <w:pPr>
        <w:spacing w:after="0" w:line="480" w:lineRule="auto"/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tbl>
      <w:tblPr>
        <w:tblW w:w="10786" w:type="dxa"/>
        <w:jc w:val="center"/>
        <w:tblInd w:w="-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8"/>
        <w:gridCol w:w="1033"/>
        <w:gridCol w:w="1639"/>
        <w:gridCol w:w="1639"/>
        <w:gridCol w:w="1639"/>
        <w:gridCol w:w="1639"/>
        <w:gridCol w:w="1639"/>
      </w:tblGrid>
      <w:tr w:rsidR="0043185E" w:rsidRPr="00AE2D07" w:rsidTr="00C73396">
        <w:trPr>
          <w:trHeight w:val="280"/>
          <w:jc w:val="center"/>
        </w:trPr>
        <w:tc>
          <w:tcPr>
            <w:tcW w:w="15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3185E" w:rsidRPr="00AE2D07" w:rsidRDefault="0043185E" w:rsidP="00C73396">
            <w:pPr>
              <w:spacing w:after="0" w:line="240" w:lineRule="auto"/>
              <w:rPr>
                <w:rFonts w:ascii="Times New Roman" w:eastAsia="Times New Roman" w:hAnsi="Times New Roman"/>
                <w:lang w:eastAsia="fr-FR"/>
              </w:rPr>
            </w:pPr>
          </w:p>
        </w:tc>
        <w:tc>
          <w:tcPr>
            <w:tcW w:w="1033" w:type="dxa"/>
            <w:tcBorders>
              <w:top w:val="nil"/>
              <w:left w:val="nil"/>
            </w:tcBorders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</w:p>
        </w:tc>
        <w:tc>
          <w:tcPr>
            <w:tcW w:w="8195" w:type="dxa"/>
            <w:gridSpan w:val="5"/>
            <w:tcBorders>
              <w:bottom w:val="nil"/>
            </w:tcBorders>
            <w:shd w:val="clear" w:color="auto" w:fill="auto"/>
            <w:noWrap/>
            <w:vAlign w:val="bottom"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Relative expression of:</w:t>
            </w:r>
          </w:p>
        </w:tc>
      </w:tr>
      <w:tr w:rsidR="0043185E" w:rsidRPr="00AE2D07" w:rsidTr="00C73396">
        <w:trPr>
          <w:trHeight w:val="280"/>
          <w:jc w:val="center"/>
        </w:trPr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i/>
                <w:iCs/>
                <w:color w:val="000000"/>
                <w:lang w:eastAsia="fr-FR"/>
              </w:rPr>
              <w:t>Smoking Status</w:t>
            </w:r>
          </w:p>
        </w:tc>
        <w:tc>
          <w:tcPr>
            <w:tcW w:w="1033" w:type="dxa"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</w:p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i/>
                <w:lang w:eastAsia="fr-FR"/>
              </w:rPr>
              <w:t>Number</w:t>
            </w:r>
          </w:p>
        </w:tc>
        <w:tc>
          <w:tcPr>
            <w:tcW w:w="163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Transferrin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Transferrin Receptor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Ferritin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Ferroportin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IREB2</w:t>
            </w:r>
          </w:p>
        </w:tc>
      </w:tr>
      <w:tr w:rsidR="0043185E" w:rsidRPr="00AE2D07" w:rsidTr="00C73396">
        <w:trPr>
          <w:trHeight w:val="280"/>
          <w:jc w:val="center"/>
        </w:trPr>
        <w:tc>
          <w:tcPr>
            <w:tcW w:w="1558" w:type="dxa"/>
            <w:shd w:val="clear" w:color="auto" w:fill="D9D9D9" w:themeFill="background1" w:themeFillShade="D9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Never Smoke</w:t>
            </w:r>
          </w:p>
        </w:tc>
        <w:tc>
          <w:tcPr>
            <w:tcW w:w="1033" w:type="dxa"/>
            <w:shd w:val="clear" w:color="auto" w:fill="D9D9D9" w:themeFill="background1" w:themeFillShade="D9"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8</w:t>
            </w:r>
          </w:p>
        </w:tc>
        <w:tc>
          <w:tcPr>
            <w:tcW w:w="1639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1.0</w:t>
            </w:r>
          </w:p>
        </w:tc>
        <w:tc>
          <w:tcPr>
            <w:tcW w:w="1639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1.0</w:t>
            </w:r>
          </w:p>
        </w:tc>
        <w:tc>
          <w:tcPr>
            <w:tcW w:w="1639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1.0</w:t>
            </w:r>
          </w:p>
        </w:tc>
        <w:tc>
          <w:tcPr>
            <w:tcW w:w="1639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1.0</w:t>
            </w:r>
          </w:p>
        </w:tc>
        <w:tc>
          <w:tcPr>
            <w:tcW w:w="1639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1.0</w:t>
            </w:r>
          </w:p>
        </w:tc>
      </w:tr>
      <w:tr w:rsidR="0043185E" w:rsidRPr="00AE2D07" w:rsidTr="00C73396">
        <w:trPr>
          <w:trHeight w:val="280"/>
          <w:jc w:val="center"/>
        </w:trPr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Former Smoker</w:t>
            </w:r>
          </w:p>
        </w:tc>
        <w:tc>
          <w:tcPr>
            <w:tcW w:w="1033" w:type="dxa"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4</w:t>
            </w:r>
          </w:p>
        </w:tc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3.3</w:t>
            </w:r>
            <w:r w:rsidRPr="00AE2D07" w:rsidDel="00F94E73">
              <w:rPr>
                <w:rFonts w:ascii="Times New Roman" w:eastAsia="Times New Roman" w:hAnsi="Times New Roman"/>
                <w:lang w:eastAsia="fr-FR"/>
              </w:rPr>
              <w:t xml:space="preserve"> 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0.27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26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0.66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0.35</w:t>
            </w:r>
          </w:p>
        </w:tc>
      </w:tr>
      <w:tr w:rsidR="0043185E" w:rsidRPr="00AE2D07" w:rsidTr="00C73396">
        <w:trPr>
          <w:trHeight w:val="280"/>
          <w:jc w:val="center"/>
        </w:trPr>
        <w:tc>
          <w:tcPr>
            <w:tcW w:w="1558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Current Smoker</w:t>
            </w:r>
          </w:p>
        </w:tc>
        <w:tc>
          <w:tcPr>
            <w:tcW w:w="1033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14</w:t>
            </w:r>
          </w:p>
        </w:tc>
        <w:tc>
          <w:tcPr>
            <w:tcW w:w="1639" w:type="dxa"/>
            <w:tcBorders>
              <w:top w:val="single" w:sz="4" w:space="0" w:color="auto"/>
              <w:bottom w:val="doub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0.5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1.7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12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2.0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lang w:eastAsia="fr-FR"/>
              </w:rPr>
              <w:t>0.26</w:t>
            </w:r>
          </w:p>
        </w:tc>
      </w:tr>
      <w:tr w:rsidR="0043185E" w:rsidRPr="00AE2D07" w:rsidTr="00C73396">
        <w:trPr>
          <w:trHeight w:val="300"/>
          <w:jc w:val="center"/>
        </w:trPr>
        <w:tc>
          <w:tcPr>
            <w:tcW w:w="1558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fr-FR"/>
              </w:rPr>
            </w:pPr>
          </w:p>
        </w:tc>
        <w:tc>
          <w:tcPr>
            <w:tcW w:w="1033" w:type="dxa"/>
            <w:tcBorders>
              <w:top w:val="double" w:sz="4" w:space="0" w:color="auto"/>
            </w:tcBorders>
            <w:shd w:val="clear" w:color="auto" w:fill="A6A6A6" w:themeFill="background1" w:themeFillShade="A6"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lang w:eastAsia="fr-FR"/>
              </w:rPr>
              <w:t>P value</w:t>
            </w:r>
            <w:r w:rsidRPr="00AE2D07">
              <w:rPr>
                <w:rFonts w:ascii="Times New Roman" w:eastAsia="Times New Roman" w:hAnsi="Times New Roman"/>
                <w:b/>
                <w:bCs/>
                <w:vertAlign w:val="superscript"/>
                <w:lang w:eastAsia="fr-FR"/>
              </w:rPr>
              <w:t>1</w:t>
            </w:r>
          </w:p>
        </w:tc>
        <w:tc>
          <w:tcPr>
            <w:tcW w:w="1639" w:type="dxa"/>
            <w:tcBorders>
              <w:top w:val="double" w:sz="4" w:space="0" w:color="auto"/>
              <w:right w:val="nil"/>
            </w:tcBorders>
            <w:shd w:val="clear" w:color="auto" w:fill="A6A6A6" w:themeFill="background1" w:themeFillShade="A6"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0.0023*</w:t>
            </w:r>
          </w:p>
        </w:tc>
        <w:tc>
          <w:tcPr>
            <w:tcW w:w="1639" w:type="dxa"/>
            <w:tcBorders>
              <w:top w:val="double" w:sz="4" w:space="0" w:color="auto"/>
              <w:left w:val="nil"/>
              <w:right w:val="nil"/>
            </w:tcBorders>
            <w:shd w:val="clear" w:color="auto" w:fill="A6A6A6" w:themeFill="background1" w:themeFillShade="A6"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0.26</w:t>
            </w:r>
          </w:p>
        </w:tc>
        <w:tc>
          <w:tcPr>
            <w:tcW w:w="1639" w:type="dxa"/>
            <w:tcBorders>
              <w:top w:val="double" w:sz="4" w:space="0" w:color="auto"/>
              <w:left w:val="nil"/>
              <w:right w:val="nil"/>
            </w:tcBorders>
            <w:shd w:val="clear" w:color="auto" w:fill="A6A6A6" w:themeFill="background1" w:themeFillShade="A6"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0.014*</w:t>
            </w:r>
          </w:p>
        </w:tc>
        <w:tc>
          <w:tcPr>
            <w:tcW w:w="1639" w:type="dxa"/>
            <w:tcBorders>
              <w:top w:val="double" w:sz="4" w:space="0" w:color="auto"/>
              <w:left w:val="nil"/>
              <w:right w:val="nil"/>
            </w:tcBorders>
            <w:shd w:val="clear" w:color="auto" w:fill="A6A6A6" w:themeFill="background1" w:themeFillShade="A6"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0.499</w:t>
            </w:r>
          </w:p>
        </w:tc>
        <w:tc>
          <w:tcPr>
            <w:tcW w:w="1639" w:type="dxa"/>
            <w:tcBorders>
              <w:top w:val="double" w:sz="4" w:space="0" w:color="auto"/>
              <w:left w:val="nil"/>
            </w:tcBorders>
            <w:shd w:val="clear" w:color="auto" w:fill="A6A6A6" w:themeFill="background1" w:themeFillShade="A6"/>
            <w:vAlign w:val="bottom"/>
            <w:hideMark/>
          </w:tcPr>
          <w:p w:rsidR="0043185E" w:rsidRPr="00AE2D07" w:rsidRDefault="0043185E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0.048*</w:t>
            </w:r>
          </w:p>
        </w:tc>
      </w:tr>
    </w:tbl>
    <w:p w:rsidR="0043185E" w:rsidRPr="00AE2D07" w:rsidRDefault="0043185E" w:rsidP="0043185E">
      <w:pPr>
        <w:spacing w:after="0" w:line="480" w:lineRule="auto"/>
        <w:jc w:val="both"/>
        <w:rPr>
          <w:rFonts w:ascii="Times New Roman" w:hAnsi="Times New Roman"/>
          <w:sz w:val="24"/>
        </w:rPr>
      </w:pPr>
      <w:r w:rsidRPr="00AE2D07">
        <w:rPr>
          <w:rFonts w:ascii="Times New Roman" w:hAnsi="Times New Roman"/>
          <w:sz w:val="24"/>
          <w:vertAlign w:val="superscript"/>
        </w:rPr>
        <w:t>1</w:t>
      </w:r>
      <w:r w:rsidRPr="00AE2D07">
        <w:rPr>
          <w:rFonts w:ascii="Times New Roman" w:hAnsi="Times New Roman"/>
          <w:sz w:val="24"/>
        </w:rPr>
        <w:t>Anova analysis</w:t>
      </w:r>
    </w:p>
    <w:p w:rsidR="0043185E" w:rsidRDefault="0043185E" w:rsidP="0043185E">
      <w:pPr>
        <w:spacing w:after="0" w:line="480" w:lineRule="auto"/>
        <w:jc w:val="both"/>
        <w:rPr>
          <w:rFonts w:ascii="Times New Roman" w:hAnsi="Times New Roman"/>
          <w:b/>
          <w:sz w:val="24"/>
        </w:rPr>
      </w:pPr>
      <w:r w:rsidRPr="00AE2D07">
        <w:rPr>
          <w:rFonts w:ascii="Times New Roman" w:hAnsi="Times New Roman"/>
          <w:b/>
          <w:sz w:val="24"/>
        </w:rPr>
        <w:t>Table S5: Expression of transferrin, ferritin and IREB2 are impacted by smoking status.</w:t>
      </w:r>
    </w:p>
    <w:p w:rsidR="0043185E" w:rsidRDefault="0043185E" w:rsidP="0043185E">
      <w:pPr>
        <w:spacing w:after="0" w:line="480" w:lineRule="auto"/>
        <w:jc w:val="both"/>
        <w:rPr>
          <w:rFonts w:ascii="Times New Roman" w:hAnsi="Times New Roman"/>
          <w:b/>
          <w:sz w:val="24"/>
        </w:rPr>
      </w:pPr>
    </w:p>
    <w:p w:rsidR="001A179B" w:rsidRDefault="001A179B"/>
    <w:sectPr w:rsidR="001A179B" w:rsidSect="001A179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85E"/>
    <w:rsid w:val="001A179B"/>
    <w:rsid w:val="002A559E"/>
    <w:rsid w:val="00431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85E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85E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>Washington University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Quentin</dc:creator>
  <cp:lastModifiedBy>Potts, Nathaniel</cp:lastModifiedBy>
  <cp:revision>2</cp:revision>
  <dcterms:created xsi:type="dcterms:W3CDTF">2014-06-08T22:09:00Z</dcterms:created>
  <dcterms:modified xsi:type="dcterms:W3CDTF">2014-06-08T22:09:00Z</dcterms:modified>
</cp:coreProperties>
</file>