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992" w:rsidRDefault="007C0992" w:rsidP="007C0992">
      <w:pPr>
        <w:adjustRightInd w:val="0"/>
        <w:snapToGrid w:val="0"/>
        <w:spacing w:after="0" w:line="480" w:lineRule="auto"/>
        <w:contextualSpacing/>
        <w:jc w:val="both"/>
        <w:rPr>
          <w:rFonts w:ascii="Times" w:hAnsi="Times"/>
          <w:sz w:val="24"/>
          <w:szCs w:val="24"/>
        </w:rPr>
      </w:pPr>
      <w:bookmarkStart w:id="0" w:name="_GoBack"/>
      <w:bookmarkEnd w:id="0"/>
      <w:r w:rsidRPr="0090393A">
        <w:rPr>
          <w:rFonts w:ascii="Times" w:hAnsi="Times"/>
          <w:b/>
          <w:sz w:val="24"/>
          <w:szCs w:val="24"/>
        </w:rPr>
        <w:t xml:space="preserve">Table </w:t>
      </w:r>
      <w:r>
        <w:rPr>
          <w:rFonts w:ascii="Times" w:hAnsi="Times"/>
          <w:b/>
          <w:sz w:val="24"/>
          <w:szCs w:val="24"/>
        </w:rPr>
        <w:t>S2</w:t>
      </w:r>
      <w:r w:rsidRPr="0090393A">
        <w:rPr>
          <w:rFonts w:ascii="Times" w:hAnsi="Times"/>
          <w:sz w:val="24"/>
          <w:szCs w:val="24"/>
        </w:rPr>
        <w:t xml:space="preserve">. Meta-analysis results of the replication cohort data for </w:t>
      </w:r>
      <w:r>
        <w:rPr>
          <w:rFonts w:ascii="Times" w:hAnsi="Times"/>
          <w:sz w:val="24"/>
          <w:szCs w:val="24"/>
        </w:rPr>
        <w:t>SNP rs7739368</w:t>
      </w:r>
      <w:r w:rsidRPr="0090393A">
        <w:rPr>
          <w:rFonts w:ascii="Times" w:hAnsi="Times"/>
          <w:sz w:val="24"/>
          <w:szCs w:val="24"/>
        </w:rPr>
        <w:t xml:space="preserve">. The effect size (beta) is presented in terms of the reference allele A1 for </w:t>
      </w:r>
      <w:r>
        <w:rPr>
          <w:rFonts w:ascii="Times" w:hAnsi="Times"/>
          <w:sz w:val="24"/>
          <w:szCs w:val="24"/>
        </w:rPr>
        <w:t>the</w:t>
      </w:r>
      <w:r w:rsidRPr="0090393A">
        <w:rPr>
          <w:rFonts w:ascii="Times" w:hAnsi="Times"/>
          <w:sz w:val="24"/>
          <w:szCs w:val="24"/>
        </w:rPr>
        <w:t xml:space="preserve"> SNP of interest. SE, standard error</w:t>
      </w:r>
      <w:r>
        <w:rPr>
          <w:rFonts w:ascii="Times" w:hAnsi="Times"/>
          <w:sz w:val="24"/>
          <w:szCs w:val="24"/>
        </w:rPr>
        <w:t xml:space="preserve">. </w:t>
      </w:r>
    </w:p>
    <w:tbl>
      <w:tblPr>
        <w:tblW w:w="10720" w:type="dxa"/>
        <w:jc w:val="center"/>
        <w:tblLook w:val="04A0" w:firstRow="1" w:lastRow="0" w:firstColumn="1" w:lastColumn="0" w:noHBand="0" w:noVBand="1"/>
      </w:tblPr>
      <w:tblGrid>
        <w:gridCol w:w="903"/>
        <w:gridCol w:w="921"/>
        <w:gridCol w:w="390"/>
        <w:gridCol w:w="897"/>
        <w:gridCol w:w="1660"/>
        <w:gridCol w:w="1150"/>
        <w:gridCol w:w="1387"/>
        <w:gridCol w:w="500"/>
        <w:gridCol w:w="828"/>
        <w:gridCol w:w="253"/>
        <w:gridCol w:w="1428"/>
        <w:gridCol w:w="500"/>
        <w:gridCol w:w="816"/>
      </w:tblGrid>
      <w:tr w:rsidR="007C0992" w:rsidRPr="00452CF1" w:rsidTr="003D5BD4">
        <w:trPr>
          <w:trHeight w:val="300"/>
          <w:jc w:val="center"/>
        </w:trPr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C0992" w:rsidRPr="00452CF1" w:rsidRDefault="007C0992" w:rsidP="003D5BD4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452CF1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C0992" w:rsidRPr="00452CF1" w:rsidRDefault="007C0992" w:rsidP="003D5BD4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452CF1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C0992" w:rsidRPr="00452CF1" w:rsidRDefault="007C0992" w:rsidP="003D5BD4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452CF1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C0992" w:rsidRPr="00452CF1" w:rsidRDefault="007C0992" w:rsidP="003D5BD4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452CF1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7C0992" w:rsidRPr="00452CF1" w:rsidRDefault="007C0992" w:rsidP="003D5BD4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452CF1">
              <w:rPr>
                <w:rFonts w:ascii="Calibri" w:eastAsia="Times New Roman" w:hAnsi="Calibri" w:cs="Times New Roman"/>
                <w:sz w:val="16"/>
                <w:szCs w:val="16"/>
              </w:rPr>
              <w:t>Direction in each cohort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7C0992" w:rsidRPr="00452CF1" w:rsidRDefault="007C0992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452CF1">
              <w:rPr>
                <w:rFonts w:ascii="Calibri" w:eastAsia="Times New Roman" w:hAnsi="Calibri" w:cs="Times New Roman"/>
                <w:sz w:val="16"/>
                <w:szCs w:val="16"/>
              </w:rPr>
              <w:t xml:space="preserve">Heterogeneity </w:t>
            </w:r>
            <w:r w:rsidRPr="00452CF1">
              <w:rPr>
                <w:rFonts w:ascii="Calibri" w:eastAsia="Times New Roman" w:hAnsi="Calibri" w:cs="Times New Roman"/>
                <w:i/>
                <w:iCs/>
                <w:sz w:val="16"/>
                <w:szCs w:val="16"/>
              </w:rPr>
              <w:t>p</w:t>
            </w:r>
            <w:r w:rsidRPr="00452CF1">
              <w:rPr>
                <w:rFonts w:ascii="Calibri" w:eastAsia="Times New Roman" w:hAnsi="Calibri" w:cs="Times New Roman"/>
                <w:sz w:val="16"/>
                <w:szCs w:val="16"/>
              </w:rPr>
              <w:t xml:space="preserve"> value</w:t>
            </w:r>
          </w:p>
        </w:tc>
        <w:tc>
          <w:tcPr>
            <w:tcW w:w="25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7C0992" w:rsidRPr="00452CF1" w:rsidRDefault="007C0992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452CF1">
              <w:rPr>
                <w:rFonts w:ascii="Calibri" w:eastAsia="Times New Roman" w:hAnsi="Calibri" w:cs="Times New Roman"/>
                <w:sz w:val="16"/>
                <w:szCs w:val="16"/>
              </w:rPr>
              <w:t>Fixed-effects Model</w:t>
            </w:r>
          </w:p>
        </w:tc>
        <w:tc>
          <w:tcPr>
            <w:tcW w:w="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C0992" w:rsidRPr="00452CF1" w:rsidRDefault="007C0992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452CF1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26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7C0992" w:rsidRPr="00452CF1" w:rsidRDefault="007C0992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452CF1">
              <w:rPr>
                <w:rFonts w:ascii="Calibri" w:eastAsia="Times New Roman" w:hAnsi="Calibri" w:cs="Times New Roman"/>
                <w:sz w:val="16"/>
                <w:szCs w:val="16"/>
              </w:rPr>
              <w:t>Random-effects Model</w:t>
            </w:r>
          </w:p>
        </w:tc>
      </w:tr>
      <w:tr w:rsidR="007C0992" w:rsidRPr="00452CF1" w:rsidTr="003D5BD4">
        <w:trPr>
          <w:trHeight w:val="300"/>
          <w:jc w:val="center"/>
        </w:trPr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C0992" w:rsidRPr="00452CF1" w:rsidRDefault="007C0992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452CF1">
              <w:rPr>
                <w:rFonts w:ascii="Calibri" w:eastAsia="Times New Roman" w:hAnsi="Calibri" w:cs="Times New Roman"/>
                <w:sz w:val="16"/>
                <w:szCs w:val="16"/>
              </w:rPr>
              <w:t>SNP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C0992" w:rsidRPr="00452CF1" w:rsidRDefault="007C0992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452CF1">
              <w:rPr>
                <w:rFonts w:ascii="Calibri" w:eastAsia="Times New Roman" w:hAnsi="Calibri" w:cs="Times New Roman"/>
                <w:sz w:val="16"/>
                <w:szCs w:val="16"/>
              </w:rPr>
              <w:t>Phenotype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C0992" w:rsidRPr="00452CF1" w:rsidRDefault="007C0992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452CF1">
              <w:rPr>
                <w:rFonts w:ascii="Calibri" w:eastAsia="Times New Roman" w:hAnsi="Calibri" w:cs="Times New Roman"/>
                <w:sz w:val="16"/>
                <w:szCs w:val="16"/>
              </w:rPr>
              <w:t>A1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C0992" w:rsidRPr="00452CF1" w:rsidRDefault="007C0992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452CF1">
              <w:rPr>
                <w:rFonts w:ascii="Calibri" w:eastAsia="Times New Roman" w:hAnsi="Calibri" w:cs="Times New Roman"/>
                <w:sz w:val="16"/>
                <w:szCs w:val="16"/>
              </w:rPr>
              <w:t>Frequency</w:t>
            </w:r>
          </w:p>
        </w:tc>
        <w:tc>
          <w:tcPr>
            <w:tcW w:w="16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7C0992" w:rsidRPr="00452CF1" w:rsidRDefault="007C0992" w:rsidP="003D5BD4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07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7C0992" w:rsidRPr="00452CF1" w:rsidRDefault="007C0992" w:rsidP="003D5BD4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C0992" w:rsidRPr="00452CF1" w:rsidRDefault="007C0992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452CF1">
              <w:rPr>
                <w:rFonts w:ascii="Calibri" w:eastAsia="Times New Roman" w:hAnsi="Calibri" w:cs="Times New Roman"/>
                <w:sz w:val="16"/>
                <w:szCs w:val="16"/>
              </w:rPr>
              <w:t>Beta (95% CI)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C0992" w:rsidRPr="00452CF1" w:rsidRDefault="007C0992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452CF1">
              <w:rPr>
                <w:rFonts w:ascii="Calibri" w:eastAsia="Times New Roman" w:hAnsi="Calibri" w:cs="Times New Roman"/>
                <w:sz w:val="16"/>
                <w:szCs w:val="16"/>
              </w:rPr>
              <w:t>SE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C0992" w:rsidRPr="00452CF1" w:rsidRDefault="007C0992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452CF1">
              <w:rPr>
                <w:rFonts w:ascii="Calibri" w:eastAsia="Times New Roman" w:hAnsi="Calibri" w:cs="Times New Roman"/>
                <w:i/>
                <w:iCs/>
                <w:sz w:val="16"/>
                <w:szCs w:val="16"/>
              </w:rPr>
              <w:t>p</w:t>
            </w:r>
            <w:r w:rsidRPr="00452CF1">
              <w:rPr>
                <w:rFonts w:ascii="Calibri" w:eastAsia="Times New Roman" w:hAnsi="Calibri" w:cs="Times New Roman"/>
                <w:sz w:val="16"/>
                <w:szCs w:val="16"/>
              </w:rPr>
              <w:t xml:space="preserve"> value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C0992" w:rsidRPr="00452CF1" w:rsidRDefault="007C0992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452CF1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C0992" w:rsidRPr="00452CF1" w:rsidRDefault="007C0992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452CF1">
              <w:rPr>
                <w:rFonts w:ascii="Calibri" w:eastAsia="Times New Roman" w:hAnsi="Calibri" w:cs="Times New Roman"/>
                <w:sz w:val="16"/>
                <w:szCs w:val="16"/>
              </w:rPr>
              <w:t>Beta (95% CI)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C0992" w:rsidRPr="00452CF1" w:rsidRDefault="007C0992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452CF1">
              <w:rPr>
                <w:rFonts w:ascii="Calibri" w:eastAsia="Times New Roman" w:hAnsi="Calibri" w:cs="Times New Roman"/>
                <w:sz w:val="16"/>
                <w:szCs w:val="16"/>
              </w:rPr>
              <w:t>SE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C0992" w:rsidRPr="00452CF1" w:rsidRDefault="007C0992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452CF1">
              <w:rPr>
                <w:rFonts w:ascii="Calibri" w:eastAsia="Times New Roman" w:hAnsi="Calibri" w:cs="Times New Roman"/>
                <w:i/>
                <w:iCs/>
                <w:sz w:val="16"/>
                <w:szCs w:val="16"/>
              </w:rPr>
              <w:t>p</w:t>
            </w:r>
            <w:r w:rsidRPr="00452CF1">
              <w:rPr>
                <w:rFonts w:ascii="Calibri" w:eastAsia="Times New Roman" w:hAnsi="Calibri" w:cs="Times New Roman"/>
                <w:sz w:val="16"/>
                <w:szCs w:val="16"/>
              </w:rPr>
              <w:t xml:space="preserve"> value</w:t>
            </w:r>
          </w:p>
        </w:tc>
      </w:tr>
      <w:tr w:rsidR="007C0992" w:rsidRPr="00452CF1" w:rsidTr="003D5BD4">
        <w:trPr>
          <w:trHeight w:val="300"/>
          <w:jc w:val="center"/>
        </w:trPr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7C0992" w:rsidRPr="00452CF1" w:rsidRDefault="007C0992" w:rsidP="003D5BD4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452CF1">
              <w:rPr>
                <w:rFonts w:ascii="Calibri" w:eastAsia="Times New Roman" w:hAnsi="Calibri" w:cs="Times New Roman"/>
                <w:sz w:val="16"/>
                <w:szCs w:val="16"/>
              </w:rPr>
              <w:t>rs7739368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7C0992" w:rsidRPr="00452CF1" w:rsidRDefault="007C0992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452CF1">
              <w:rPr>
                <w:rFonts w:ascii="Calibri" w:eastAsia="Times New Roman" w:hAnsi="Calibri" w:cs="Times New Roman"/>
                <w:sz w:val="16"/>
                <w:szCs w:val="16"/>
              </w:rPr>
              <w:t>SBP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7C0992" w:rsidRPr="00452CF1" w:rsidRDefault="007C0992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452CF1">
              <w:rPr>
                <w:rFonts w:ascii="Calibri" w:eastAsia="Times New Roman" w:hAnsi="Calibri" w:cs="Times New Roman"/>
                <w:sz w:val="16"/>
                <w:szCs w:val="16"/>
              </w:rPr>
              <w:t>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7C0992" w:rsidRPr="00452CF1" w:rsidRDefault="007C0992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452CF1">
              <w:rPr>
                <w:rFonts w:ascii="Calibri" w:eastAsia="Times New Roman" w:hAnsi="Calibri" w:cs="Times New Roman"/>
                <w:sz w:val="16"/>
                <w:szCs w:val="16"/>
              </w:rPr>
              <w:t>0.88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7C0992" w:rsidRPr="00452CF1" w:rsidRDefault="007C0992" w:rsidP="003D5BD4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452CF1">
              <w:rPr>
                <w:rFonts w:ascii="Calibri" w:eastAsia="Times New Roman" w:hAnsi="Calibri" w:cs="Times New Roman"/>
                <w:sz w:val="16"/>
                <w:szCs w:val="16"/>
              </w:rPr>
              <w:t>+?-++-+-+++-+--+-+++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7C0992" w:rsidRPr="00452CF1" w:rsidRDefault="007C0992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452CF1">
              <w:rPr>
                <w:rFonts w:ascii="Calibri" w:eastAsia="Times New Roman" w:hAnsi="Calibri" w:cs="Times New Roman"/>
                <w:sz w:val="16"/>
                <w:szCs w:val="16"/>
              </w:rPr>
              <w:t>0.73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7C0992" w:rsidRPr="00452CF1" w:rsidRDefault="007C0992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452CF1">
              <w:rPr>
                <w:rFonts w:ascii="Calibri" w:eastAsia="Times New Roman" w:hAnsi="Calibri" w:cs="Times New Roman"/>
                <w:sz w:val="16"/>
                <w:szCs w:val="16"/>
              </w:rPr>
              <w:t>0.68 (0.22, 1.14)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7C0992" w:rsidRPr="00452CF1" w:rsidRDefault="007C0992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452CF1">
              <w:rPr>
                <w:rFonts w:ascii="Calibri" w:eastAsia="Times New Roman" w:hAnsi="Calibri" w:cs="Times New Roman"/>
                <w:sz w:val="16"/>
                <w:szCs w:val="16"/>
              </w:rPr>
              <w:t>0.23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7C0992" w:rsidRPr="00452CF1" w:rsidRDefault="007C0992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452CF1">
              <w:rPr>
                <w:rFonts w:ascii="Calibri" w:eastAsia="Times New Roman" w:hAnsi="Calibri" w:cs="Times New Roman"/>
                <w:sz w:val="16"/>
                <w:szCs w:val="16"/>
              </w:rPr>
              <w:t>0.004</w:t>
            </w:r>
          </w:p>
        </w:tc>
        <w:tc>
          <w:tcPr>
            <w:tcW w:w="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7C0992" w:rsidRPr="00452CF1" w:rsidRDefault="007C0992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452CF1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7C0992" w:rsidRPr="00452CF1" w:rsidRDefault="007C0992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452CF1">
              <w:rPr>
                <w:rFonts w:ascii="Calibri" w:eastAsia="Times New Roman" w:hAnsi="Calibri" w:cs="Times New Roman"/>
                <w:sz w:val="16"/>
                <w:szCs w:val="16"/>
              </w:rPr>
              <w:t>0.68 (0.22, 1.14)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7C0992" w:rsidRPr="00452CF1" w:rsidRDefault="007C0992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452CF1">
              <w:rPr>
                <w:rFonts w:ascii="Calibri" w:eastAsia="Times New Roman" w:hAnsi="Calibri" w:cs="Times New Roman"/>
                <w:sz w:val="16"/>
                <w:szCs w:val="16"/>
              </w:rPr>
              <w:t>0.23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7C0992" w:rsidRPr="00452CF1" w:rsidRDefault="007C0992" w:rsidP="003D5B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452CF1">
              <w:rPr>
                <w:rFonts w:ascii="Calibri" w:eastAsia="Times New Roman" w:hAnsi="Calibri" w:cs="Times New Roman"/>
                <w:sz w:val="16"/>
                <w:szCs w:val="16"/>
              </w:rPr>
              <w:t>0.004</w:t>
            </w:r>
          </w:p>
        </w:tc>
      </w:tr>
    </w:tbl>
    <w:p w:rsidR="007C0992" w:rsidRDefault="007C0992" w:rsidP="007C0992">
      <w:pPr>
        <w:adjustRightInd w:val="0"/>
        <w:snapToGrid w:val="0"/>
        <w:spacing w:after="0" w:line="480" w:lineRule="auto"/>
        <w:contextualSpacing/>
        <w:jc w:val="both"/>
        <w:rPr>
          <w:rFonts w:ascii="Times" w:hAnsi="Times"/>
          <w:sz w:val="24"/>
          <w:szCs w:val="24"/>
        </w:rPr>
      </w:pPr>
    </w:p>
    <w:p w:rsidR="00C60AA8" w:rsidRDefault="00C60AA8"/>
    <w:sectPr w:rsidR="00C60A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992"/>
    <w:rsid w:val="007C0992"/>
    <w:rsid w:val="00C60AA8"/>
    <w:rsid w:val="00FF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992"/>
    <w:pPr>
      <w:spacing w:after="200" w:line="276" w:lineRule="auto"/>
    </w:pPr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992"/>
    <w:pPr>
      <w:spacing w:after="200" w:line="276" w:lineRule="auto"/>
    </w:pPr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Xiaofeng Zhu</dc:creator>
  <cp:lastModifiedBy>Potts, Nathaniel</cp:lastModifiedBy>
  <cp:revision>2</cp:revision>
  <dcterms:created xsi:type="dcterms:W3CDTF">2014-12-29T23:12:00Z</dcterms:created>
  <dcterms:modified xsi:type="dcterms:W3CDTF">2014-12-29T23:12:00Z</dcterms:modified>
</cp:coreProperties>
</file>