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1F6" w:rsidRDefault="003A11F6" w:rsidP="003A11F6">
      <w:pPr>
        <w:rPr>
          <w:rFonts w:cs="Arial"/>
          <w:sz w:val="20"/>
          <w:szCs w:val="22"/>
        </w:rPr>
      </w:pPr>
      <w:r>
        <w:rPr>
          <w:rFonts w:cs="Arial"/>
          <w:b/>
          <w:bCs/>
          <w:sz w:val="22"/>
        </w:rPr>
        <w:t>S3 Table. Baseline characteristics of cases and matched controls in the Nurses' Health Study (1990) and Nurses' Health Study II (1997) for the Rosner-Colditz model</w:t>
      </w:r>
    </w:p>
    <w:tbl>
      <w:tblPr>
        <w:tblW w:w="4730" w:type="pct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092"/>
        <w:gridCol w:w="1964"/>
        <w:gridCol w:w="1799"/>
      </w:tblGrid>
      <w:tr w:rsidR="003A11F6" w:rsidTr="003A11F6">
        <w:trPr>
          <w:trHeight w:hRule="exact" w:val="259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A11F6" w:rsidRDefault="003A11F6">
            <w:pPr>
              <w:jc w:val="center"/>
              <w:rPr>
                <w:rFonts w:cs="Arial"/>
                <w:sz w:val="20"/>
                <w:lang w:eastAsia="zh-CN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Cases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Controls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No. of cases/controls</w:t>
            </w:r>
            <w:r>
              <w:rPr>
                <w:sz w:val="20"/>
                <w:lang w:eastAsia="zh-CN"/>
              </w:rPr>
              <w:t>*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2,676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5,484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Nurses' Health Study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1,851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2,841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Nurses' Health Study II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825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2,643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u w:val="single"/>
                <w:lang w:eastAsia="zh-CN"/>
              </w:rPr>
            </w:pPr>
            <w:r>
              <w:rPr>
                <w:sz w:val="20"/>
                <w:szCs w:val="20"/>
                <w:u w:val="single"/>
                <w:lang w:eastAsia="zh-CN"/>
              </w:rPr>
              <w:t>Demographic/lifestyle factors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Mean (SD)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Age at blood draw, </w:t>
            </w:r>
            <w:proofErr w:type="spellStart"/>
            <w:r>
              <w:rPr>
                <w:sz w:val="20"/>
                <w:szCs w:val="20"/>
                <w:lang w:eastAsia="zh-CN"/>
              </w:rPr>
              <w:t>yr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53.0 (8.2)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51.2 (8.4)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&lt;40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98 (4%)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325 (6%)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40-44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362 (14%)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1024 (19%)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45-49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673 (25%)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1597 (29%)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50-54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468 (17%)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793 (14%)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55-59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423 (16%)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640 (12%)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60-64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393 (15%)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655 (12%)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65+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259 (10%)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450 (8%)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BMI at blood draw, kg/m</w:t>
            </w:r>
            <w:r>
              <w:rPr>
                <w:sz w:val="20"/>
                <w:szCs w:val="20"/>
                <w:vertAlign w:val="superscript"/>
                <w:lang w:eastAsia="zh-CN"/>
              </w:rPr>
              <w:t>2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25.4 (4.0)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25.6 (4.7)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Age at menarche, </w:t>
            </w:r>
            <w:proofErr w:type="spellStart"/>
            <w:r>
              <w:rPr>
                <w:sz w:val="20"/>
                <w:szCs w:val="20"/>
                <w:lang w:eastAsia="zh-CN"/>
              </w:rPr>
              <w:t>yr</w:t>
            </w:r>
            <w:proofErr w:type="spellEnd"/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12.4 (1.4)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12.5 (1.4)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Age at first birth, </w:t>
            </w:r>
            <w:proofErr w:type="spellStart"/>
            <w:r>
              <w:rPr>
                <w:sz w:val="20"/>
                <w:szCs w:val="20"/>
                <w:lang w:eastAsia="zh-CN"/>
              </w:rPr>
              <w:t>yr</w:t>
            </w:r>
            <w:proofErr w:type="spellEnd"/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25.8 (3.5)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25.6 (3.5)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Age at menopause, </w:t>
            </w:r>
            <w:proofErr w:type="spellStart"/>
            <w:r>
              <w:rPr>
                <w:sz w:val="20"/>
                <w:szCs w:val="20"/>
                <w:lang w:eastAsia="zh-CN"/>
              </w:rPr>
              <w:t>yr</w:t>
            </w:r>
            <w:proofErr w:type="spellEnd"/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51.5 (4.7)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51.1 (5.6)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Physical activity, MET-</w:t>
            </w:r>
            <w:proofErr w:type="spellStart"/>
            <w:r>
              <w:rPr>
                <w:sz w:val="20"/>
                <w:szCs w:val="20"/>
                <w:lang w:eastAsia="zh-CN"/>
              </w:rPr>
              <w:t>hrs</w:t>
            </w:r>
            <w:proofErr w:type="spellEnd"/>
            <w:r>
              <w:rPr>
                <w:sz w:val="20"/>
                <w:szCs w:val="20"/>
                <w:lang w:eastAsia="zh-CN"/>
              </w:rPr>
              <w:t>/</w:t>
            </w:r>
            <w:proofErr w:type="spellStart"/>
            <w:r>
              <w:rPr>
                <w:sz w:val="20"/>
                <w:szCs w:val="20"/>
                <w:lang w:eastAsia="zh-CN"/>
              </w:rPr>
              <w:t>wk</w:t>
            </w:r>
            <w:proofErr w:type="spellEnd"/>
            <w:r>
              <w:rPr>
                <w:sz w:val="20"/>
                <w:szCs w:val="20"/>
                <w:lang w:eastAsia="zh-CN"/>
              </w:rPr>
              <w:t>, Mean (SD)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16.4 (19.0)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17.2 (19.8)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Alcohol consumption, g/d, Mean (SD)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5.1 (9.3)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4.5 (8.4)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Percent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Parous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86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Previous history of benign breast disease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42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Family history of breast cancer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Postmenopausal status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Postmenopausal women not using HT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rFonts w:cs="Arial"/>
                <w:sz w:val="20"/>
                <w:lang w:eastAsia="zh-CN"/>
              </w:rPr>
            </w:pPr>
            <w:r>
              <w:rPr>
                <w:rFonts w:cs="Arial"/>
                <w:sz w:val="20"/>
                <w:szCs w:val="22"/>
                <w:lang w:eastAsia="zh-CN"/>
              </w:rPr>
              <w:t>Postmenopausal women using HT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Mean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Polygenic risk score</w:t>
            </w:r>
            <w:r>
              <w:rPr>
                <w:rFonts w:cs="Arial"/>
                <w:sz w:val="20"/>
                <w:szCs w:val="20"/>
                <w:lang w:eastAsia="zh-CN"/>
              </w:rPr>
              <w:t>†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0.20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-0.15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Percent of MD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34.5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29.5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Mean 5-year breast cancer risk score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Rosner-Colditz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0.019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0.014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Hormones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1F6" w:rsidRDefault="003A11F6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Median (10-90th percentile)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Estrone sulfate(</w:t>
            </w:r>
            <w:proofErr w:type="spellStart"/>
            <w:r>
              <w:rPr>
                <w:sz w:val="20"/>
                <w:szCs w:val="20"/>
                <w:lang w:eastAsia="zh-CN"/>
              </w:rPr>
              <w:t>pg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/mL) </w:t>
            </w:r>
            <w:r>
              <w:rPr>
                <w:rFonts w:cs="Arial"/>
                <w:sz w:val="20"/>
                <w:szCs w:val="20"/>
                <w:lang w:eastAsia="zh-CN"/>
              </w:rPr>
              <w:t>‡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264 (105, 660)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206 (94, 481)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Testosterone (ng/</w:t>
            </w:r>
            <w:proofErr w:type="spellStart"/>
            <w:r>
              <w:rPr>
                <w:sz w:val="20"/>
                <w:szCs w:val="20"/>
                <w:lang w:eastAsia="zh-CN"/>
              </w:rPr>
              <w:t>dL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) </w:t>
            </w:r>
            <w:r>
              <w:rPr>
                <w:rFonts w:cs="Arial"/>
                <w:sz w:val="20"/>
                <w:szCs w:val="20"/>
                <w:lang w:eastAsia="zh-CN"/>
              </w:rPr>
              <w:t>‡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21.2 (12.0, 39.0)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19.5 (10.0, 36.7)</w:t>
            </w:r>
          </w:p>
        </w:tc>
      </w:tr>
      <w:tr w:rsidR="003A11F6" w:rsidTr="003A11F6">
        <w:trPr>
          <w:trHeight w:hRule="exact" w:val="259"/>
        </w:trPr>
        <w:tc>
          <w:tcPr>
            <w:tcW w:w="28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Prolactin (ng/mL) </w:t>
            </w:r>
            <w:r>
              <w:rPr>
                <w:rFonts w:cs="Arial"/>
                <w:sz w:val="20"/>
                <w:szCs w:val="20"/>
                <w:lang w:eastAsia="zh-CN"/>
              </w:rPr>
              <w:t>§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10.7 (5.9, 19.7)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11F6" w:rsidRDefault="003A11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9.7 (5.55,18.3)</w:t>
            </w:r>
          </w:p>
        </w:tc>
      </w:tr>
    </w:tbl>
    <w:p w:rsidR="003A11F6" w:rsidRDefault="003A11F6" w:rsidP="003A11F6">
      <w:pPr>
        <w:rPr>
          <w:sz w:val="20"/>
        </w:rPr>
      </w:pPr>
      <w:r>
        <w:rPr>
          <w:sz w:val="20"/>
        </w:rPr>
        <w:t xml:space="preserve">*Cheek cell data were used for 1,741 women (757ca/984co) in the NHS, and 1,860 women (410ca/1,450co) in the NHS </w:t>
      </w:r>
      <w:r>
        <w:rPr>
          <w:rFonts w:cs="Arial"/>
          <w:bCs/>
          <w:sz w:val="20"/>
        </w:rPr>
        <w:t>II</w:t>
      </w:r>
      <w:r>
        <w:rPr>
          <w:sz w:val="20"/>
        </w:rPr>
        <w:t xml:space="preserve">. Although age and menopausal status were matching factors, the addition of unmatched controls from the excluded in situ cases resulted in imbalance on age and menopausal status. </w:t>
      </w:r>
    </w:p>
    <w:p w:rsidR="003A11F6" w:rsidRDefault="003A11F6" w:rsidP="003A11F6">
      <w:pPr>
        <w:rPr>
          <w:sz w:val="20"/>
        </w:rPr>
      </w:pPr>
      <w:r>
        <w:rPr>
          <w:rFonts w:cs="Arial"/>
          <w:sz w:val="20"/>
          <w:szCs w:val="20"/>
        </w:rPr>
        <w:t>†</w:t>
      </w:r>
      <w:r>
        <w:t xml:space="preserve"> </w:t>
      </w:r>
      <w:r>
        <w:rPr>
          <w:sz w:val="20"/>
        </w:rPr>
        <w:t xml:space="preserve">Polygenic risk score was created using 67 independent SNPs previously identified in GWAS </w:t>
      </w:r>
      <w:proofErr w:type="gramStart"/>
      <w:r>
        <w:rPr>
          <w:sz w:val="20"/>
        </w:rPr>
        <w:t>studies, and</w:t>
      </w:r>
      <w:proofErr w:type="gramEnd"/>
      <w:r>
        <w:rPr>
          <w:sz w:val="20"/>
        </w:rPr>
        <w:t xml:space="preserve"> were weighted by natural logarithm of their respective effect sizes, followed by standardization (conversion to mean = 0 and SD = 1) among all participants.</w:t>
      </w:r>
      <w:r>
        <w:t xml:space="preserve"> </w:t>
      </w:r>
      <w:r>
        <w:rPr>
          <w:rFonts w:cs="Arial"/>
          <w:sz w:val="20"/>
          <w:szCs w:val="20"/>
        </w:rPr>
        <w:t xml:space="preserve"> </w:t>
      </w:r>
      <w:r>
        <w:rPr>
          <w:sz w:val="20"/>
        </w:rPr>
        <w:t xml:space="preserve">Negative values </w:t>
      </w:r>
      <w:proofErr w:type="gramStart"/>
      <w:r>
        <w:rPr>
          <w:sz w:val="20"/>
        </w:rPr>
        <w:t>means</w:t>
      </w:r>
      <w:proofErr w:type="gramEnd"/>
      <w:r>
        <w:rPr>
          <w:sz w:val="20"/>
        </w:rPr>
        <w:t xml:space="preserve"> that those women are less likely to develop breast cancer than the average-risk women, based on genetic data from these SNPs. Results presented in this table were among women who contributed to Gail model analyses.</w:t>
      </w:r>
    </w:p>
    <w:p w:rsidR="003A11F6" w:rsidRDefault="003A11F6" w:rsidP="003A11F6">
      <w:pPr>
        <w:rPr>
          <w:sz w:val="20"/>
        </w:rPr>
      </w:pPr>
      <w:r>
        <w:rPr>
          <w:rFonts w:cs="Arial"/>
          <w:sz w:val="20"/>
          <w:szCs w:val="20"/>
        </w:rPr>
        <w:t xml:space="preserve">‡ </w:t>
      </w:r>
      <w:r>
        <w:rPr>
          <w:sz w:val="20"/>
        </w:rPr>
        <w:t xml:space="preserve">Among postmenopausal women not using postmenopausal hormone therapy (HT) </w:t>
      </w:r>
      <w:r>
        <w:rPr>
          <w:rFonts w:cs="Arial"/>
          <w:sz w:val="20"/>
          <w:szCs w:val="22"/>
        </w:rPr>
        <w:t>(653 cases/1,336 controls)</w:t>
      </w:r>
      <w:r>
        <w:rPr>
          <w:sz w:val="20"/>
        </w:rPr>
        <w:t>.</w:t>
      </w:r>
    </w:p>
    <w:p w:rsidR="001951C6" w:rsidRPr="003A11F6" w:rsidRDefault="003A11F6" w:rsidP="003A11F6">
      <w:pPr>
        <w:spacing w:after="200" w:line="276" w:lineRule="auto"/>
        <w:rPr>
          <w:sz w:val="18"/>
        </w:rPr>
      </w:pPr>
      <w:r>
        <w:rPr>
          <w:rFonts w:cs="Arial"/>
          <w:sz w:val="20"/>
          <w:szCs w:val="20"/>
        </w:rPr>
        <w:t xml:space="preserve">§ </w:t>
      </w:r>
      <w:r>
        <w:rPr>
          <w:sz w:val="20"/>
        </w:rPr>
        <w:t xml:space="preserve">Among postmenopausal women </w:t>
      </w:r>
      <w:r>
        <w:rPr>
          <w:rFonts w:cs="Arial"/>
          <w:sz w:val="20"/>
          <w:szCs w:val="22"/>
        </w:rPr>
        <w:t>(1,512 cases/2,743 controls)</w:t>
      </w:r>
      <w:bookmarkStart w:id="0" w:name="_GoBack"/>
      <w:bookmarkEnd w:id="0"/>
    </w:p>
    <w:sectPr w:rsidR="001951C6" w:rsidRPr="003A1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1F6"/>
    <w:rsid w:val="001951C6"/>
    <w:rsid w:val="003A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A551A"/>
  <w15:chartTrackingRefBased/>
  <w15:docId w15:val="{96B81AC4-91B6-458D-BE97-9F3040F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1F6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Burd</dc:creator>
  <cp:keywords/>
  <dc:description/>
  <cp:lastModifiedBy>Charlie Burd</cp:lastModifiedBy>
  <cp:revision>1</cp:revision>
  <dcterms:created xsi:type="dcterms:W3CDTF">2018-07-23T22:00:00Z</dcterms:created>
  <dcterms:modified xsi:type="dcterms:W3CDTF">2018-07-23T22:01:00Z</dcterms:modified>
</cp:coreProperties>
</file>