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CD581" w14:textId="27F00587" w:rsidR="00B26496" w:rsidRDefault="00B26496" w:rsidP="00B26496">
      <w:r>
        <w:rPr>
          <w:b/>
        </w:rPr>
        <w:t xml:space="preserve">Supplemental </w:t>
      </w:r>
      <w:r w:rsidRPr="005E6A4D">
        <w:rPr>
          <w:b/>
        </w:rPr>
        <w:t xml:space="preserve">Table </w:t>
      </w:r>
      <w:r w:rsidR="00A03307">
        <w:rPr>
          <w:b/>
        </w:rPr>
        <w:t>1</w:t>
      </w:r>
      <w:r w:rsidRPr="003275E7">
        <w:rPr>
          <w:b/>
        </w:rPr>
        <w:t>:</w:t>
      </w:r>
      <w:r>
        <w:t xml:space="preserve"> Clinical and pathologic associations with molecular markers.  Odds ratios (OR) with the 95% confidence interval are noted in parentheses. 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795"/>
        <w:gridCol w:w="1733"/>
        <w:gridCol w:w="1530"/>
        <w:gridCol w:w="1440"/>
        <w:gridCol w:w="1530"/>
        <w:gridCol w:w="1440"/>
      </w:tblGrid>
      <w:tr w:rsidR="00B26496" w14:paraId="029BB6A8" w14:textId="77777777" w:rsidTr="0051697A">
        <w:tc>
          <w:tcPr>
            <w:tcW w:w="1795" w:type="dxa"/>
          </w:tcPr>
          <w:p w14:paraId="3B279A31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33" w:type="dxa"/>
          </w:tcPr>
          <w:p w14:paraId="79532BF4" w14:textId="10C8420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BRAF  </w:t>
            </w: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V600E</w:t>
            </w:r>
            <w:proofErr w:type="gramEnd"/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mutation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(170/231, 74%)</w:t>
            </w:r>
          </w:p>
        </w:tc>
        <w:tc>
          <w:tcPr>
            <w:tcW w:w="1530" w:type="dxa"/>
          </w:tcPr>
          <w:p w14:paraId="06CA2DE6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Positive </w:t>
            </w:r>
            <w:proofErr w:type="spellStart"/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pAKT</w:t>
            </w:r>
            <w:proofErr w:type="spellEnd"/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IHC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(83/212, 39%)</w:t>
            </w:r>
          </w:p>
        </w:tc>
        <w:tc>
          <w:tcPr>
            <w:tcW w:w="1440" w:type="dxa"/>
          </w:tcPr>
          <w:p w14:paraId="154F8695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Positive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MAPK</w:t>
            </w: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IHC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(29/206, 14%)</w:t>
            </w:r>
          </w:p>
        </w:tc>
        <w:tc>
          <w:tcPr>
            <w:tcW w:w="1530" w:type="dxa"/>
          </w:tcPr>
          <w:p w14:paraId="26EAB42F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Positive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RET </w:t>
            </w: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IHC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(124/205, 61%)</w:t>
            </w:r>
          </w:p>
        </w:tc>
        <w:tc>
          <w:tcPr>
            <w:tcW w:w="1440" w:type="dxa"/>
          </w:tcPr>
          <w:p w14:paraId="150F2F71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Positive </w:t>
            </w:r>
            <w:proofErr w:type="spellStart"/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PPARγ</w:t>
            </w:r>
            <w:proofErr w:type="spellEnd"/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 xml:space="preserve">IHC </w:t>
            </w:r>
            <w:r w:rsidRPr="00F04F0F">
              <w:rPr>
                <w:rFonts w:asciiTheme="majorHAnsi" w:hAnsiTheme="majorHAnsi" w:cstheme="majorHAnsi"/>
                <w:bCs/>
                <w:kern w:val="24"/>
                <w:sz w:val="20"/>
                <w:szCs w:val="20"/>
              </w:rPr>
              <w:t>(53/194, 27%)</w:t>
            </w:r>
          </w:p>
        </w:tc>
      </w:tr>
      <w:tr w:rsidR="00B26496" w14:paraId="5ECE03C1" w14:textId="77777777" w:rsidTr="003D1D90">
        <w:trPr>
          <w:trHeight w:val="278"/>
        </w:trPr>
        <w:tc>
          <w:tcPr>
            <w:tcW w:w="1795" w:type="dxa"/>
          </w:tcPr>
          <w:p w14:paraId="2ABAEBC7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 xml:space="preserve">Age </w:t>
            </w:r>
          </w:p>
          <w:p w14:paraId="5FF3F33B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33" w:type="dxa"/>
          </w:tcPr>
          <w:p w14:paraId="2CC70948" w14:textId="67DC9C75" w:rsidR="00B26496" w:rsidRPr="00F04F0F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1.00 (0.98-1.02)</w:t>
            </w:r>
          </w:p>
          <w:p w14:paraId="6ABBE9BE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6030F04" w14:textId="282B7AD4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0.99 (0.97-1.01)</w:t>
            </w:r>
          </w:p>
          <w:p w14:paraId="7E63E2FE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908229B" w14:textId="08C26A0F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1.00 (0.97-1.03)</w:t>
            </w:r>
          </w:p>
          <w:p w14:paraId="282489B9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CC449E3" w14:textId="409AC187" w:rsidR="00B26496" w:rsidRPr="00F04F0F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1.03 (1.01-1.0</w:t>
            </w:r>
            <w:r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5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31534E7A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3F65CF5" w14:textId="32F1AF73" w:rsidR="00B26496" w:rsidRPr="00F04F0F" w:rsidRDefault="00F312E8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1.00 (0.98-1.02)</w:t>
            </w:r>
          </w:p>
          <w:p w14:paraId="7D591D82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26496" w14:paraId="5F1D38A2" w14:textId="77777777" w:rsidTr="0051697A">
        <w:tc>
          <w:tcPr>
            <w:tcW w:w="1795" w:type="dxa"/>
          </w:tcPr>
          <w:p w14:paraId="2072E2F3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Male vs female</w:t>
            </w:r>
          </w:p>
        </w:tc>
        <w:tc>
          <w:tcPr>
            <w:tcW w:w="1733" w:type="dxa"/>
          </w:tcPr>
          <w:p w14:paraId="727943F7" w14:textId="4C4D9B60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1.02 (0.53-1.95)</w:t>
            </w:r>
          </w:p>
        </w:tc>
        <w:tc>
          <w:tcPr>
            <w:tcW w:w="1530" w:type="dxa"/>
          </w:tcPr>
          <w:p w14:paraId="313143B5" w14:textId="400C55C3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0.53 (0.28-1.02)</w:t>
            </w:r>
          </w:p>
        </w:tc>
        <w:tc>
          <w:tcPr>
            <w:tcW w:w="1440" w:type="dxa"/>
          </w:tcPr>
          <w:p w14:paraId="49FF3CA9" w14:textId="24EA8B5C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0.63 (0.24-1.63)</w:t>
            </w:r>
          </w:p>
        </w:tc>
        <w:tc>
          <w:tcPr>
            <w:tcW w:w="1530" w:type="dxa"/>
          </w:tcPr>
          <w:p w14:paraId="5FC70B4A" w14:textId="4657BAAD" w:rsidR="00B26496" w:rsidRPr="008D2A19" w:rsidRDefault="008D2A19" w:rsidP="00A03307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0.39 (0.21-0.72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1440" w:type="dxa"/>
          </w:tcPr>
          <w:p w14:paraId="7209054C" w14:textId="6773D19E" w:rsidR="00B26496" w:rsidRPr="00F04F0F" w:rsidRDefault="00F312E8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0.69 (0.34-1.42)</w:t>
            </w:r>
          </w:p>
        </w:tc>
      </w:tr>
      <w:tr w:rsidR="00B26496" w14:paraId="25AC8AA6" w14:textId="77777777" w:rsidTr="0051697A">
        <w:tc>
          <w:tcPr>
            <w:tcW w:w="1795" w:type="dxa"/>
          </w:tcPr>
          <w:p w14:paraId="7F127AC9" w14:textId="023C4A4F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 xml:space="preserve">White </w:t>
            </w:r>
            <w:r w:rsidR="005E6563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 xml:space="preserve">race </w:t>
            </w:r>
            <w:r w:rsidR="00F312E8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(R</w:t>
            </w: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ef)</w:t>
            </w:r>
          </w:p>
          <w:p w14:paraId="6215647A" w14:textId="2AAAAC90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Non-white race</w:t>
            </w:r>
          </w:p>
        </w:tc>
        <w:tc>
          <w:tcPr>
            <w:tcW w:w="1733" w:type="dxa"/>
          </w:tcPr>
          <w:p w14:paraId="7CB535ED" w14:textId="6A672EE0" w:rsidR="003D1D90" w:rsidRDefault="003D1D90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Ref</w:t>
            </w:r>
          </w:p>
          <w:p w14:paraId="69BC8751" w14:textId="57EB41CF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1.20 (0.51-2.81)</w:t>
            </w:r>
          </w:p>
        </w:tc>
        <w:tc>
          <w:tcPr>
            <w:tcW w:w="1530" w:type="dxa"/>
          </w:tcPr>
          <w:p w14:paraId="4EE2C394" w14:textId="137E311A" w:rsidR="003D1D90" w:rsidRDefault="003D1D90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Ref</w:t>
            </w:r>
          </w:p>
          <w:p w14:paraId="00A016F4" w14:textId="05A561BE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1.54 (0.70-3.39)</w:t>
            </w:r>
          </w:p>
        </w:tc>
        <w:tc>
          <w:tcPr>
            <w:tcW w:w="1440" w:type="dxa"/>
          </w:tcPr>
          <w:p w14:paraId="6C75E6B2" w14:textId="6B2E713C" w:rsidR="003D1D90" w:rsidRDefault="003D1D90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Ref</w:t>
            </w:r>
          </w:p>
          <w:p w14:paraId="189D5108" w14:textId="3F6C10A7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1.59 (0.59-4.28)</w:t>
            </w:r>
          </w:p>
        </w:tc>
        <w:tc>
          <w:tcPr>
            <w:tcW w:w="1530" w:type="dxa"/>
          </w:tcPr>
          <w:p w14:paraId="02202404" w14:textId="6FBAECE0" w:rsidR="003D1D90" w:rsidRDefault="003D1D90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Ref</w:t>
            </w:r>
          </w:p>
          <w:p w14:paraId="663A50D5" w14:textId="2C5C4245" w:rsidR="005E6563" w:rsidRPr="003D1D90" w:rsidRDefault="005E6563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1.45 (0.64-6.67)</w:t>
            </w:r>
          </w:p>
        </w:tc>
        <w:tc>
          <w:tcPr>
            <w:tcW w:w="1440" w:type="dxa"/>
          </w:tcPr>
          <w:p w14:paraId="26126FEB" w14:textId="711E44BC" w:rsidR="003D1D90" w:rsidRDefault="003D1D90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Ref</w:t>
            </w:r>
          </w:p>
          <w:p w14:paraId="663BF82C" w14:textId="0F89C3DA" w:rsidR="00B26496" w:rsidRPr="00F04F0F" w:rsidRDefault="00F312E8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1.68 (0.74-3.82)</w:t>
            </w:r>
          </w:p>
        </w:tc>
      </w:tr>
      <w:tr w:rsidR="00B26496" w14:paraId="549B75B6" w14:textId="77777777" w:rsidTr="0051697A">
        <w:tc>
          <w:tcPr>
            <w:tcW w:w="1795" w:type="dxa"/>
          </w:tcPr>
          <w:p w14:paraId="674FD3E6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Tumor size</w:t>
            </w:r>
          </w:p>
          <w:p w14:paraId="7C811756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T3-4 vs. T1-2</w:t>
            </w:r>
          </w:p>
        </w:tc>
        <w:tc>
          <w:tcPr>
            <w:tcW w:w="1733" w:type="dxa"/>
          </w:tcPr>
          <w:p w14:paraId="7F6936F3" w14:textId="5E6CB6D1" w:rsidR="00B26496" w:rsidRPr="00F04F0F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0.95 (0.80-1.13)</w:t>
            </w:r>
          </w:p>
          <w:p w14:paraId="026DFA19" w14:textId="46B21E89" w:rsidR="00B26496" w:rsidRPr="008D2A19" w:rsidRDefault="008D2A19" w:rsidP="00A03307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2.22 (1.16-4.24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14:paraId="50204143" w14:textId="2D1319F4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1.16 (0.98-1.38))</w:t>
            </w:r>
          </w:p>
          <w:p w14:paraId="00747951" w14:textId="72CD0B2F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0.77 (0.43-1.36)</w:t>
            </w:r>
          </w:p>
        </w:tc>
        <w:tc>
          <w:tcPr>
            <w:tcW w:w="1440" w:type="dxa"/>
          </w:tcPr>
          <w:p w14:paraId="0F5ED7F8" w14:textId="1B77B524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0.90 (0.69-1.17)</w:t>
            </w:r>
          </w:p>
          <w:p w14:paraId="448FF9C5" w14:textId="4886520D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0.60 (0.26-</w:t>
            </w:r>
            <w:r w:rsidR="00230F76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1.39)</w:t>
            </w:r>
          </w:p>
        </w:tc>
        <w:tc>
          <w:tcPr>
            <w:tcW w:w="1530" w:type="dxa"/>
          </w:tcPr>
          <w:p w14:paraId="626DD424" w14:textId="735023D2" w:rsidR="00B26496" w:rsidRPr="00F04F0F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1.00 (0.84-1.20)</w:t>
            </w:r>
          </w:p>
          <w:p w14:paraId="2A705BDF" w14:textId="60D4B4D1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1.03 (0.58-1.83)</w:t>
            </w:r>
          </w:p>
        </w:tc>
        <w:tc>
          <w:tcPr>
            <w:tcW w:w="1440" w:type="dxa"/>
          </w:tcPr>
          <w:p w14:paraId="338137FA" w14:textId="77D6C3E6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0.75 (0.58-0.97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7F4D53F9" w14:textId="30434BA0" w:rsidR="00B26496" w:rsidRPr="00F04F0F" w:rsidRDefault="008D2A19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0.34 (0.17-0.71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</w:tr>
      <w:tr w:rsidR="00B26496" w14:paraId="08E7A5A1" w14:textId="77777777" w:rsidTr="0051697A">
        <w:tc>
          <w:tcPr>
            <w:tcW w:w="1795" w:type="dxa"/>
          </w:tcPr>
          <w:p w14:paraId="6AFFA380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Node positive</w:t>
            </w:r>
          </w:p>
        </w:tc>
        <w:tc>
          <w:tcPr>
            <w:tcW w:w="1733" w:type="dxa"/>
          </w:tcPr>
          <w:p w14:paraId="6C306447" w14:textId="382B578F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1.44 (0.80-2.61)</w:t>
            </w:r>
          </w:p>
        </w:tc>
        <w:tc>
          <w:tcPr>
            <w:tcW w:w="1530" w:type="dxa"/>
          </w:tcPr>
          <w:p w14:paraId="1783DE86" w14:textId="248B52A1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1.04 (0.60-1.81)</w:t>
            </w:r>
          </w:p>
        </w:tc>
        <w:tc>
          <w:tcPr>
            <w:tcW w:w="1440" w:type="dxa"/>
          </w:tcPr>
          <w:p w14:paraId="38FC6F5B" w14:textId="6D4EF286" w:rsidR="00B26496" w:rsidRPr="00F04F0F" w:rsidRDefault="00230F7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0.80 (0.37-1.77)</w:t>
            </w:r>
          </w:p>
        </w:tc>
        <w:tc>
          <w:tcPr>
            <w:tcW w:w="1530" w:type="dxa"/>
          </w:tcPr>
          <w:p w14:paraId="4748C422" w14:textId="6817DA5C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0.64 (0.36-1.12)</w:t>
            </w:r>
          </w:p>
        </w:tc>
        <w:tc>
          <w:tcPr>
            <w:tcW w:w="1440" w:type="dxa"/>
          </w:tcPr>
          <w:p w14:paraId="4D993088" w14:textId="15D3738E" w:rsidR="00B26496" w:rsidRPr="008D2A19" w:rsidRDefault="008D2A19" w:rsidP="00A03307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0.38 (0.20-0.74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</w:tr>
      <w:tr w:rsidR="00B26496" w14:paraId="4BB2017E" w14:textId="77777777" w:rsidTr="0051697A">
        <w:tc>
          <w:tcPr>
            <w:tcW w:w="1795" w:type="dxa"/>
          </w:tcPr>
          <w:p w14:paraId="39C9CB42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M1 vs M0</w:t>
            </w:r>
          </w:p>
        </w:tc>
        <w:tc>
          <w:tcPr>
            <w:tcW w:w="1733" w:type="dxa"/>
          </w:tcPr>
          <w:p w14:paraId="0D877E8B" w14:textId="0BE1B9CC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0.84 (0.21-3.34)</w:t>
            </w:r>
          </w:p>
        </w:tc>
        <w:tc>
          <w:tcPr>
            <w:tcW w:w="1530" w:type="dxa"/>
          </w:tcPr>
          <w:p w14:paraId="220E4CA0" w14:textId="2A533896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3.92 (0.98-15.6)</w:t>
            </w:r>
          </w:p>
        </w:tc>
        <w:tc>
          <w:tcPr>
            <w:tcW w:w="1440" w:type="dxa"/>
          </w:tcPr>
          <w:p w14:paraId="199E5D76" w14:textId="05DCF7CA" w:rsidR="00B26496" w:rsidRPr="00F04F0F" w:rsidRDefault="00230F7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1.56 (0.31-7.72)</w:t>
            </w:r>
          </w:p>
        </w:tc>
        <w:tc>
          <w:tcPr>
            <w:tcW w:w="1530" w:type="dxa"/>
          </w:tcPr>
          <w:p w14:paraId="6B742858" w14:textId="678ABB84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0.87 (0.19-4.01)</w:t>
            </w:r>
          </w:p>
        </w:tc>
        <w:tc>
          <w:tcPr>
            <w:tcW w:w="1440" w:type="dxa"/>
          </w:tcPr>
          <w:p w14:paraId="623CA5D0" w14:textId="1A246B44" w:rsidR="00B26496" w:rsidRPr="00F04F0F" w:rsidRDefault="00F312E8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1.09 (0.20-5.79)</w:t>
            </w:r>
          </w:p>
        </w:tc>
      </w:tr>
      <w:tr w:rsidR="00B26496" w14:paraId="6EFCFD47" w14:textId="77777777" w:rsidTr="0051697A">
        <w:tc>
          <w:tcPr>
            <w:tcW w:w="1795" w:type="dxa"/>
          </w:tcPr>
          <w:p w14:paraId="06F00BF4" w14:textId="77777777" w:rsidR="00B26496" w:rsidRPr="005E6A4D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  <w:u w:val="single"/>
              </w:rPr>
            </w:pPr>
            <w:r w:rsidRPr="005E6A4D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  <w:u w:val="single"/>
              </w:rPr>
              <w:t>AJCC stage</w:t>
            </w:r>
          </w:p>
          <w:p w14:paraId="42074690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III-IV vs I-II</w:t>
            </w:r>
          </w:p>
        </w:tc>
        <w:tc>
          <w:tcPr>
            <w:tcW w:w="1733" w:type="dxa"/>
          </w:tcPr>
          <w:p w14:paraId="2C2AE19F" w14:textId="77777777" w:rsidR="00B26496" w:rsidRDefault="00B26496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</w:p>
          <w:p w14:paraId="041E6C67" w14:textId="65EBA98B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1.45 (0.72-2.92)</w:t>
            </w:r>
          </w:p>
        </w:tc>
        <w:tc>
          <w:tcPr>
            <w:tcW w:w="1530" w:type="dxa"/>
          </w:tcPr>
          <w:p w14:paraId="1E316484" w14:textId="77777777" w:rsidR="00B26496" w:rsidRDefault="00B26496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</w:p>
          <w:p w14:paraId="67E9DF29" w14:textId="2439628D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0.80 (0.42-1.52)</w:t>
            </w:r>
          </w:p>
        </w:tc>
        <w:tc>
          <w:tcPr>
            <w:tcW w:w="1440" w:type="dxa"/>
          </w:tcPr>
          <w:p w14:paraId="1223257A" w14:textId="77777777" w:rsidR="00B26496" w:rsidRDefault="00B26496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</w:p>
          <w:p w14:paraId="69617D47" w14:textId="61D460AF" w:rsidR="00B26496" w:rsidRPr="00F04F0F" w:rsidRDefault="00230F7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0.41 (0.13-1.23)</w:t>
            </w:r>
          </w:p>
        </w:tc>
        <w:tc>
          <w:tcPr>
            <w:tcW w:w="1530" w:type="dxa"/>
          </w:tcPr>
          <w:p w14:paraId="5C100354" w14:textId="77777777" w:rsidR="00B26496" w:rsidRDefault="00B26496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</w:p>
          <w:p w14:paraId="6D5C94FD" w14:textId="0BDEC24D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1.33 (0.70-2.54)</w:t>
            </w:r>
          </w:p>
        </w:tc>
        <w:tc>
          <w:tcPr>
            <w:tcW w:w="1440" w:type="dxa"/>
          </w:tcPr>
          <w:p w14:paraId="13CCA832" w14:textId="77777777" w:rsidR="00B26496" w:rsidRDefault="00B26496" w:rsidP="00A03307">
            <w:pP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</w:pPr>
          </w:p>
          <w:p w14:paraId="2D5D4A6D" w14:textId="16FBCB93" w:rsidR="00B26496" w:rsidRPr="00F04F0F" w:rsidRDefault="00F312E8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0.64 (0.30-1.36)</w:t>
            </w:r>
          </w:p>
        </w:tc>
      </w:tr>
      <w:tr w:rsidR="00B26496" w14:paraId="02F4421E" w14:textId="77777777" w:rsidTr="0051697A">
        <w:tc>
          <w:tcPr>
            <w:tcW w:w="1795" w:type="dxa"/>
          </w:tcPr>
          <w:p w14:paraId="7A8D8A25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Multifocal</w:t>
            </w:r>
          </w:p>
          <w:p w14:paraId="22F9A94D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Capsular invasion</w:t>
            </w:r>
          </w:p>
          <w:p w14:paraId="5EE0AC30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Vascular invasion</w:t>
            </w:r>
          </w:p>
          <w:p w14:paraId="6C3A96A2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Soft tissue invasion</w:t>
            </w:r>
          </w:p>
          <w:p w14:paraId="1EB1C5F5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Positive margins</w:t>
            </w:r>
          </w:p>
        </w:tc>
        <w:tc>
          <w:tcPr>
            <w:tcW w:w="1733" w:type="dxa"/>
          </w:tcPr>
          <w:p w14:paraId="2503FA48" w14:textId="1185FE6E" w:rsidR="00B26496" w:rsidRPr="00F04F0F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0.57 (0.31-1.03)</w:t>
            </w:r>
          </w:p>
          <w:p w14:paraId="79FD3132" w14:textId="44252BD6" w:rsidR="00B26496" w:rsidRPr="003D1D90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1.98 (1.10-3.59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3D95A536" w14:textId="610F972B" w:rsidR="00B26496" w:rsidRPr="003D1D90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1.82 (0.71-4.64)</w:t>
            </w:r>
          </w:p>
          <w:p w14:paraId="7F25903F" w14:textId="2E273213" w:rsidR="00B26496" w:rsidRPr="003D1D90" w:rsidRDefault="008D2A19" w:rsidP="003D1D90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2.30 (1.21-4.39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5F1BC0F0" w14:textId="7E6ACEBA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1.57 (0.84-2.95)</w:t>
            </w:r>
          </w:p>
        </w:tc>
        <w:tc>
          <w:tcPr>
            <w:tcW w:w="1530" w:type="dxa"/>
          </w:tcPr>
          <w:p w14:paraId="46C5A15C" w14:textId="6B345976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0.70 (0.40-1.22)</w:t>
            </w:r>
          </w:p>
          <w:p w14:paraId="0234C28A" w14:textId="386EC15C" w:rsidR="00B26496" w:rsidRPr="003D1D90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0.86 (0.49-1.51)</w:t>
            </w:r>
          </w:p>
          <w:p w14:paraId="5650ECDB" w14:textId="76FBE374" w:rsidR="00B26496" w:rsidRPr="003D1D90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1.27 (0.59-2.72)</w:t>
            </w:r>
          </w:p>
          <w:p w14:paraId="5AB4FBE5" w14:textId="359EC711" w:rsidR="00B26496" w:rsidRPr="003D1D90" w:rsidRDefault="003D1D90" w:rsidP="003D1D90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0.65 (0.37-1.16)</w:t>
            </w:r>
          </w:p>
          <w:p w14:paraId="6C3079CC" w14:textId="56CE4FAE" w:rsidR="00B26496" w:rsidRPr="00F04F0F" w:rsidRDefault="003D1D90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0.85 (0.48-1.51)</w:t>
            </w:r>
          </w:p>
        </w:tc>
        <w:tc>
          <w:tcPr>
            <w:tcW w:w="1440" w:type="dxa"/>
          </w:tcPr>
          <w:p w14:paraId="1ABD7FBF" w14:textId="043527D7" w:rsidR="00B26496" w:rsidRPr="00F04F0F" w:rsidRDefault="00230F7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1.55 (0.70-3.44)</w:t>
            </w:r>
          </w:p>
          <w:p w14:paraId="4477D379" w14:textId="4BD42D2B" w:rsidR="00B26496" w:rsidRPr="003D1D90" w:rsidRDefault="00230F7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0.59 (0.27-1.29)</w:t>
            </w:r>
          </w:p>
          <w:p w14:paraId="31AA5EE4" w14:textId="1129E7FF" w:rsidR="00B26496" w:rsidRPr="003D1D90" w:rsidRDefault="00230F7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1.20 (0.42-3.43)</w:t>
            </w:r>
          </w:p>
          <w:p w14:paraId="5B0B95AD" w14:textId="51020593" w:rsidR="00B26496" w:rsidRPr="003D1D90" w:rsidRDefault="00230F76" w:rsidP="003D1D90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0.59 (0.26-1.37)</w:t>
            </w:r>
          </w:p>
          <w:p w14:paraId="6679ECC8" w14:textId="74279AC6" w:rsidR="00B26496" w:rsidRPr="00F04F0F" w:rsidRDefault="00230F7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0.47 (0.19-1.16)</w:t>
            </w:r>
          </w:p>
        </w:tc>
        <w:tc>
          <w:tcPr>
            <w:tcW w:w="1530" w:type="dxa"/>
          </w:tcPr>
          <w:p w14:paraId="6E7D93D0" w14:textId="0FAA9902" w:rsidR="00B26496" w:rsidRPr="005E6A4D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0.64 (0.36-1.13)</w:t>
            </w:r>
          </w:p>
          <w:p w14:paraId="29E58FE7" w14:textId="4B82722B" w:rsidR="00B26496" w:rsidRPr="003D1D90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0.86 (0.49-1.53)</w:t>
            </w:r>
          </w:p>
          <w:p w14:paraId="156CE279" w14:textId="6662A74C" w:rsidR="00B26496" w:rsidRPr="003D1D90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0.47 (0.22-1.02)</w:t>
            </w:r>
          </w:p>
          <w:p w14:paraId="5F3A44FB" w14:textId="71B8F9FB" w:rsidR="00B26496" w:rsidRPr="003D1D90" w:rsidRDefault="005E6563" w:rsidP="003D1D90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0.78 (0.44-1.39)</w:t>
            </w:r>
          </w:p>
          <w:p w14:paraId="59754745" w14:textId="39A4B6B7" w:rsidR="00B26496" w:rsidRPr="00F04F0F" w:rsidRDefault="005E6563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1.00 (0.56-1.80)</w:t>
            </w:r>
          </w:p>
        </w:tc>
        <w:tc>
          <w:tcPr>
            <w:tcW w:w="1440" w:type="dxa"/>
          </w:tcPr>
          <w:p w14:paraId="033C061A" w14:textId="620C0840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0.44 (0.23-0.8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5)</w:t>
            </w:r>
          </w:p>
          <w:p w14:paraId="3867DF2A" w14:textId="06C27558" w:rsidR="00B26496" w:rsidRPr="003D1D90" w:rsidRDefault="00F312E8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0.65 (0.34-1.23)</w:t>
            </w:r>
          </w:p>
          <w:p w14:paraId="208C3196" w14:textId="75EA13B6" w:rsidR="00B26496" w:rsidRPr="003D1D90" w:rsidRDefault="00F312E8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0.74 (0.30-1.82)</w:t>
            </w:r>
          </w:p>
          <w:p w14:paraId="506D6528" w14:textId="02EDED4C" w:rsidR="00B26496" w:rsidRPr="003D1D90" w:rsidRDefault="008D2A19" w:rsidP="003D1D90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0.41 (0.21-0.83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0FCE9344" w14:textId="0CBF7D28" w:rsidR="00B26496" w:rsidRPr="00F04F0F" w:rsidRDefault="008D2A19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0.35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(0.17-0.73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</w:tr>
      <w:tr w:rsidR="00B26496" w14:paraId="73E4B77B" w14:textId="77777777" w:rsidTr="0051697A">
        <w:tc>
          <w:tcPr>
            <w:tcW w:w="1795" w:type="dxa"/>
          </w:tcPr>
          <w:p w14:paraId="6F992507" w14:textId="77777777" w:rsidR="00B26496" w:rsidRDefault="00B26496" w:rsidP="00A0330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BRAF V600E mutation</w:t>
            </w:r>
          </w:p>
          <w:p w14:paraId="612E7D39" w14:textId="77777777" w:rsidR="00B26496" w:rsidRDefault="00B26496" w:rsidP="00A0330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 xml:space="preserve">Positive </w:t>
            </w:r>
            <w:proofErr w:type="spellStart"/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pAKT</w:t>
            </w:r>
            <w:proofErr w:type="spellEnd"/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 xml:space="preserve"> IHC</w:t>
            </w:r>
          </w:p>
          <w:p w14:paraId="4F86D20B" w14:textId="77777777" w:rsidR="00B26496" w:rsidRDefault="00B26496" w:rsidP="00A0330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Positive MAPK IHC</w:t>
            </w:r>
          </w:p>
          <w:p w14:paraId="0234BDC7" w14:textId="77777777" w:rsidR="00B26496" w:rsidRDefault="00B26496" w:rsidP="00A0330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Positive RET IHC</w:t>
            </w:r>
          </w:p>
          <w:p w14:paraId="3C611D3C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 xml:space="preserve">Positive </w:t>
            </w:r>
            <w:proofErr w:type="spellStart"/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PPARγ</w:t>
            </w:r>
            <w:proofErr w:type="spellEnd"/>
            <w:r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 xml:space="preserve"> IHC</w:t>
            </w:r>
          </w:p>
        </w:tc>
        <w:tc>
          <w:tcPr>
            <w:tcW w:w="1733" w:type="dxa"/>
          </w:tcPr>
          <w:p w14:paraId="74AB6B80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----</w:t>
            </w:r>
          </w:p>
          <w:p w14:paraId="6F480323" w14:textId="58AA77B1" w:rsidR="00B26496" w:rsidRPr="00F04F0F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0.66 (0.36-1.23)</w:t>
            </w:r>
          </w:p>
          <w:p w14:paraId="38AD3673" w14:textId="580858C6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0.43 (0.19-0.9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7)</w:t>
            </w:r>
          </w:p>
          <w:p w14:paraId="680EA06F" w14:textId="1371CD4F" w:rsidR="00B26496" w:rsidRPr="00F04F0F" w:rsidRDefault="0051697A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1.26 (0.68-2.36)</w:t>
            </w:r>
          </w:p>
          <w:p w14:paraId="142DA72E" w14:textId="571D99A0" w:rsidR="00B26496" w:rsidRPr="00F04F0F" w:rsidRDefault="0051697A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1.05 (0.51-2.19)</w:t>
            </w:r>
          </w:p>
        </w:tc>
        <w:tc>
          <w:tcPr>
            <w:tcW w:w="1530" w:type="dxa"/>
          </w:tcPr>
          <w:p w14:paraId="367355EB" w14:textId="62637284" w:rsidR="00B26496" w:rsidRPr="00F04F0F" w:rsidRDefault="003D1D90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0.66 (0.36-1.23)</w:t>
            </w:r>
          </w:p>
          <w:p w14:paraId="01B3F9C8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----</w:t>
            </w:r>
          </w:p>
          <w:p w14:paraId="70822639" w14:textId="027CCEF0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2.22 (0.99-5.00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4C015E3B" w14:textId="0A4C8ADF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3.68 (1.90-7.12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6B88E236" w14:textId="550E7E51" w:rsidR="00B26496" w:rsidRPr="00F04F0F" w:rsidRDefault="008D2A19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2.81 (1.42-5.56</w:t>
            </w:r>
            <w:r w:rsidR="00B26496"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1440" w:type="dxa"/>
          </w:tcPr>
          <w:p w14:paraId="7D5B1737" w14:textId="44CD75F5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0.43 (0.19-0.9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7)</w:t>
            </w:r>
          </w:p>
          <w:p w14:paraId="2A96A4E0" w14:textId="70178CB2" w:rsidR="00B26496" w:rsidRPr="008D2A19" w:rsidRDefault="00230F7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2.22</w:t>
            </w:r>
            <w:r w:rsid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 xml:space="preserve"> (0.99-5.00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703FDDA5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----</w:t>
            </w:r>
          </w:p>
          <w:p w14:paraId="5D26EC97" w14:textId="237D0057" w:rsidR="00B26496" w:rsidRPr="00F04F0F" w:rsidRDefault="00230F7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1.09 (0.45-2.64)</w:t>
            </w:r>
          </w:p>
          <w:p w14:paraId="394F3B31" w14:textId="2FE8D8EE" w:rsidR="00B26496" w:rsidRPr="008D2A19" w:rsidRDefault="008D2A19" w:rsidP="00A03307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2.65 (1.10-6.42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14:paraId="2F9E9494" w14:textId="165177AF" w:rsidR="00B26496" w:rsidRPr="00F04F0F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1.26 (0.68-2.36)</w:t>
            </w:r>
          </w:p>
          <w:p w14:paraId="71B6BA12" w14:textId="2066F21C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3.68 (1.90-7.12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0A0D293F" w14:textId="0BC5F9C8" w:rsidR="00B26496" w:rsidRPr="00F04F0F" w:rsidRDefault="005E6563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1.09 (0.45-2.64)</w:t>
            </w:r>
          </w:p>
          <w:p w14:paraId="35F40E29" w14:textId="77777777" w:rsidR="00B26496" w:rsidRPr="00F04F0F" w:rsidRDefault="00B26496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----</w:t>
            </w:r>
          </w:p>
          <w:p w14:paraId="6ECFFE2D" w14:textId="0AA5197A" w:rsidR="00B26496" w:rsidRPr="008D2A19" w:rsidRDefault="008D2A19" w:rsidP="00A03307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2.19 (1.08-4.43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1440" w:type="dxa"/>
          </w:tcPr>
          <w:p w14:paraId="3C5708E5" w14:textId="042AFD55" w:rsidR="00B26496" w:rsidRPr="00F04F0F" w:rsidRDefault="00F312E8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1.05 (0.51-2.19)</w:t>
            </w:r>
          </w:p>
          <w:p w14:paraId="71FD1F77" w14:textId="471A5E51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2.81 (1.42-5.56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16AD161D" w14:textId="156429E3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2.65 (1.10-6.42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09361002" w14:textId="5EE34007" w:rsidR="00B26496" w:rsidRPr="008D2A19" w:rsidRDefault="008D2A19" w:rsidP="00A03307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2.19 (1.08-4.43</w:t>
            </w:r>
            <w:r w:rsidR="00B26496" w:rsidRPr="008D2A19">
              <w:rPr>
                <w:rFonts w:asciiTheme="majorHAnsi" w:hAnsiTheme="majorHAnsi" w:cstheme="majorHAnsi"/>
                <w:b/>
                <w:color w:val="000000" w:themeColor="dark1"/>
                <w:kern w:val="24"/>
                <w:sz w:val="16"/>
                <w:szCs w:val="16"/>
              </w:rPr>
              <w:t>)</w:t>
            </w:r>
          </w:p>
          <w:p w14:paraId="7A10DC6A" w14:textId="77777777" w:rsidR="00B26496" w:rsidRPr="00F04F0F" w:rsidRDefault="00B26496" w:rsidP="00A0330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F04F0F">
              <w:rPr>
                <w:rFonts w:asciiTheme="majorHAnsi" w:hAnsiTheme="majorHAnsi" w:cstheme="majorHAnsi"/>
                <w:color w:val="000000" w:themeColor="dark1"/>
                <w:kern w:val="24"/>
                <w:sz w:val="16"/>
                <w:szCs w:val="16"/>
              </w:rPr>
              <w:t>----</w:t>
            </w:r>
          </w:p>
        </w:tc>
      </w:tr>
    </w:tbl>
    <w:p w14:paraId="285FD5F5" w14:textId="6D99C1CF" w:rsidR="00B26496" w:rsidRDefault="00B26496" w:rsidP="00B26496">
      <w:r>
        <w:t xml:space="preserve">Abbreviations: </w:t>
      </w:r>
      <w:r w:rsidR="00F312E8">
        <w:t xml:space="preserve">Ref- reference; </w:t>
      </w:r>
      <w:r>
        <w:t>IHC – immunohistochemistry; AJCC – American Joint Committee on Cancer; ATA – American Thyroid Association</w:t>
      </w:r>
      <w:r w:rsidDel="00B83497">
        <w:t xml:space="preserve"> </w:t>
      </w:r>
    </w:p>
    <w:p w14:paraId="7F9FDD9C" w14:textId="77777777" w:rsidR="00B26496" w:rsidRDefault="00B26496"/>
    <w:p w14:paraId="4344086D" w14:textId="4C757314" w:rsidR="0050698A" w:rsidRDefault="0050698A"/>
    <w:p w14:paraId="24041A5C" w14:textId="77777777" w:rsidR="0050698A" w:rsidRDefault="0050698A"/>
    <w:p w14:paraId="1BA2C58D" w14:textId="50CCAB0B" w:rsidR="0050698A" w:rsidRDefault="0050698A"/>
    <w:p w14:paraId="51FC89C8" w14:textId="3D2A4578" w:rsidR="0050698A" w:rsidRDefault="0050698A"/>
    <w:p w14:paraId="3305A00F" w14:textId="37FF951C" w:rsidR="00B26496" w:rsidRDefault="00B26496" w:rsidP="00B26496"/>
    <w:p w14:paraId="43C91E12" w14:textId="77777777" w:rsidR="00B26496" w:rsidRDefault="00B26496"/>
    <w:p w14:paraId="74292C21" w14:textId="4C68B59D" w:rsidR="00C372B8" w:rsidRDefault="00C372B8">
      <w:bookmarkStart w:id="0" w:name="_GoBack"/>
      <w:bookmarkEnd w:id="0"/>
    </w:p>
    <w:sectPr w:rsidR="00C37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D2"/>
    <w:rsid w:val="0001338C"/>
    <w:rsid w:val="000F7BB3"/>
    <w:rsid w:val="001410CB"/>
    <w:rsid w:val="00230F76"/>
    <w:rsid w:val="003A0322"/>
    <w:rsid w:val="003D1D90"/>
    <w:rsid w:val="004072F0"/>
    <w:rsid w:val="00423EB8"/>
    <w:rsid w:val="004D6BC6"/>
    <w:rsid w:val="0050698A"/>
    <w:rsid w:val="0051697A"/>
    <w:rsid w:val="005E6563"/>
    <w:rsid w:val="00625B55"/>
    <w:rsid w:val="00666735"/>
    <w:rsid w:val="007104D2"/>
    <w:rsid w:val="007203EC"/>
    <w:rsid w:val="007A6CAE"/>
    <w:rsid w:val="007B1471"/>
    <w:rsid w:val="008D2A19"/>
    <w:rsid w:val="008E0E89"/>
    <w:rsid w:val="00A03307"/>
    <w:rsid w:val="00A63DB1"/>
    <w:rsid w:val="00B1581B"/>
    <w:rsid w:val="00B26496"/>
    <w:rsid w:val="00B27AE5"/>
    <w:rsid w:val="00B83B46"/>
    <w:rsid w:val="00C372B8"/>
    <w:rsid w:val="00D16A75"/>
    <w:rsid w:val="00F3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664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9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4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264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07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9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4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264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07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BJC HealthCare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Lin, Alexander</dc:creator>
  <cp:keywords/>
  <dc:description/>
  <cp:lastModifiedBy>Alexander Lin</cp:lastModifiedBy>
  <cp:revision>2</cp:revision>
  <dcterms:created xsi:type="dcterms:W3CDTF">2018-10-12T15:35:00Z</dcterms:created>
  <dcterms:modified xsi:type="dcterms:W3CDTF">2018-10-12T15:35:00Z</dcterms:modified>
</cp:coreProperties>
</file>