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68E1" w14:textId="77777777" w:rsidR="0048115F" w:rsidRPr="00880848" w:rsidRDefault="0048115F" w:rsidP="0048115F">
      <w:pPr>
        <w:spacing w:before="100" w:beforeAutospacing="1" w:after="100" w:afterAutospacing="1"/>
        <w:ind w:left="-720" w:right="-720"/>
      </w:pPr>
      <w:r>
        <w:rPr>
          <w:b/>
        </w:rPr>
        <w:t>S1 Table</w:t>
      </w:r>
      <w:r w:rsidRPr="00880848">
        <w:rPr>
          <w:b/>
        </w:rPr>
        <w:t>.</w:t>
      </w:r>
      <w:r>
        <w:t xml:space="preserve"> Brain injury by group status, adjusted for postmenstrual age at scan </w:t>
      </w:r>
    </w:p>
    <w:tbl>
      <w:tblPr>
        <w:tblStyle w:val="ListTable1Light"/>
        <w:tblW w:w="14940" w:type="dxa"/>
        <w:tblInd w:w="-900" w:type="dxa"/>
        <w:tblLayout w:type="fixed"/>
        <w:tblLook w:val="04A0" w:firstRow="1" w:lastRow="0" w:firstColumn="1" w:lastColumn="0" w:noHBand="0" w:noVBand="1"/>
      </w:tblPr>
      <w:tblGrid>
        <w:gridCol w:w="1350"/>
        <w:gridCol w:w="1080"/>
        <w:gridCol w:w="990"/>
        <w:gridCol w:w="1080"/>
        <w:gridCol w:w="990"/>
        <w:gridCol w:w="1080"/>
        <w:gridCol w:w="990"/>
        <w:gridCol w:w="1170"/>
        <w:gridCol w:w="990"/>
        <w:gridCol w:w="720"/>
        <w:gridCol w:w="630"/>
        <w:gridCol w:w="630"/>
        <w:gridCol w:w="630"/>
        <w:gridCol w:w="720"/>
        <w:gridCol w:w="630"/>
        <w:gridCol w:w="630"/>
        <w:gridCol w:w="630"/>
      </w:tblGrid>
      <w:tr w:rsidR="0048115F" w:rsidRPr="00DB43C6" w14:paraId="5DCB0728" w14:textId="77777777" w:rsidTr="00CB6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D24054" w14:textId="77777777" w:rsidR="0048115F" w:rsidRPr="00DB43C6" w:rsidRDefault="0048115F" w:rsidP="00CB620B">
            <w:pPr>
              <w:spacing w:before="60" w:after="40"/>
              <w:rPr>
                <w:sz w:val="22"/>
                <w:szCs w:val="22"/>
              </w:rPr>
            </w:pPr>
          </w:p>
        </w:tc>
        <w:tc>
          <w:tcPr>
            <w:tcW w:w="837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FAA005" w14:textId="77777777" w:rsidR="0048115F" w:rsidRPr="00DB43C6" w:rsidRDefault="0048115F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Cs w:val="0"/>
                <w:color w:val="000000"/>
                <w:sz w:val="22"/>
                <w:szCs w:val="22"/>
              </w:rPr>
              <w:t>Group Summaries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D9C0ED" w14:textId="77777777" w:rsidR="0048115F" w:rsidRPr="00DB43C6" w:rsidRDefault="0048115F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B43C6">
              <w:rPr>
                <w:sz w:val="22"/>
                <w:szCs w:val="22"/>
              </w:rPr>
              <w:t>Group Comparisons</w:t>
            </w:r>
          </w:p>
        </w:tc>
      </w:tr>
      <w:tr w:rsidR="0048115F" w:rsidRPr="00DB43C6" w14:paraId="507FDBCC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0DE792C" w14:textId="77777777" w:rsidR="0048115F" w:rsidRPr="00DB43C6" w:rsidRDefault="0048115F" w:rsidP="00CB620B">
            <w:pPr>
              <w:spacing w:before="60" w:after="40"/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1DB7F8E" w14:textId="77777777" w:rsidR="0048115F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POM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CB913A5" w14:textId="77777777" w:rsidR="0048115F" w:rsidRPr="00B20349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(n=28)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3338F77" w14:textId="77777777" w:rsidR="0048115F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POM, </w:t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Metabolite +ve</w:t>
            </w:r>
          </w:p>
          <w:p w14:paraId="2C138FA4" w14:textId="77777777" w:rsidR="0048115F" w:rsidRPr="00DB43C6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(n=17)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57A3E07" w14:textId="77777777" w:rsidR="0048115F" w:rsidRPr="003125FD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Placebo</w:t>
            </w:r>
          </w:p>
          <w:p w14:paraId="3DAA55E7" w14:textId="77777777" w:rsidR="0048115F" w:rsidRPr="003125FD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(n=27)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AAE6412" w14:textId="77777777" w:rsidR="0048115F" w:rsidRPr="003125FD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Placebo, </w:t>
            </w:r>
            <w:r w:rsidRPr="003125F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Metabolite –ve</w:t>
            </w:r>
          </w:p>
          <w:p w14:paraId="1F41E89F" w14:textId="77777777" w:rsidR="0048115F" w:rsidRPr="003125FD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(n=15)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E85ECAF" w14:textId="77777777" w:rsidR="0048115F" w:rsidRPr="00DB43C6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MODIFIED </w:t>
            </w:r>
            <w:r w:rsidRPr="00DB43C6">
              <w:rPr>
                <w:b/>
                <w:sz w:val="22"/>
                <w:szCs w:val="22"/>
              </w:rPr>
              <w:t>INTENTION-TO-TREAT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2D5D602" w14:textId="77777777" w:rsidR="0048115F" w:rsidRPr="00DB43C6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>PER-PROTOCOL</w:t>
            </w:r>
          </w:p>
        </w:tc>
      </w:tr>
      <w:tr w:rsidR="0048115F" w:rsidRPr="00DB43C6" w14:paraId="35A24C5C" w14:textId="77777777" w:rsidTr="00CB62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00F7A" w14:textId="77777777" w:rsidR="0048115F" w:rsidRPr="00DB43C6" w:rsidRDefault="0048115F" w:rsidP="00CB620B">
            <w:pPr>
              <w:spacing w:before="6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EAA83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 xml:space="preserve">Grade </w:t>
            </w:r>
            <w:r w:rsidRPr="00DB43C6">
              <w:rPr>
                <w:b/>
                <w:sz w:val="22"/>
                <w:szCs w:val="22"/>
              </w:rPr>
              <w:br/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052B6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>Grade 1-2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1D1FB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 xml:space="preserve">Grade </w:t>
            </w:r>
            <w:r w:rsidRPr="00DB43C6">
              <w:rPr>
                <w:b/>
                <w:sz w:val="22"/>
                <w:szCs w:val="22"/>
              </w:rPr>
              <w:br/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1570F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>Grade 1-2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5CDB0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 xml:space="preserve">Grade </w:t>
            </w:r>
            <w:r w:rsidRPr="00DB43C6">
              <w:rPr>
                <w:b/>
                <w:sz w:val="22"/>
                <w:szCs w:val="22"/>
              </w:rPr>
              <w:br/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0C0B7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>Grade 1-2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DF5FC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 xml:space="preserve">Grade </w:t>
            </w:r>
            <w:r w:rsidRPr="00DB43C6">
              <w:rPr>
                <w:b/>
                <w:sz w:val="22"/>
                <w:szCs w:val="22"/>
              </w:rPr>
              <w:br/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2A5A7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b/>
                <w:sz w:val="22"/>
                <w:szCs w:val="22"/>
              </w:rPr>
              <w:t>Grade 1-2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9E118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RD</w:t>
            </w:r>
            <w:r w:rsidRPr="00E46878">
              <w:rPr>
                <w:b/>
                <w:sz w:val="22"/>
                <w:szCs w:val="22"/>
                <w:vertAlign w:val="superscript"/>
              </w:rPr>
              <w:t>1</w:t>
            </w:r>
            <w:r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AD1EFF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RR</w:t>
            </w:r>
            <w:r w:rsidRPr="00E46878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B0F33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</w:t>
            </w:r>
            <w:r w:rsidRPr="00E46878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30D63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E46878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B58475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RD</w:t>
            </w:r>
            <w:r w:rsidRPr="00E46878">
              <w:rPr>
                <w:b/>
                <w:sz w:val="22"/>
                <w:szCs w:val="22"/>
                <w:vertAlign w:val="superscript"/>
              </w:rPr>
              <w:t>1</w:t>
            </w:r>
            <w:r>
              <w:rPr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728CA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RR</w:t>
            </w:r>
            <w:r w:rsidRPr="00E46878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48E47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</w:t>
            </w:r>
            <w:r w:rsidRPr="00E46878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2E970" w14:textId="77777777" w:rsidR="0048115F" w:rsidRPr="00DB43C6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E46878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  <w:tr w:rsidR="0048115F" w:rsidRPr="00DB43C6" w14:paraId="53F8B7B4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E583F56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WM cystic lesion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A829EE3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27 (96.4)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016195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(3.6)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AD8201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17 (100)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054C0C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E73FCF0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27 (100)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2BB65F2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A42B7D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15 (100)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C92FB5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14:paraId="6DC1CCDD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3EDD2F53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2.90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466D5280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0.05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6B02E00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14:paraId="685A2D9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6694A03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6ED48446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69E3672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NA</w:t>
            </w:r>
          </w:p>
        </w:tc>
      </w:tr>
      <w:tr w:rsidR="0048115F" w:rsidRPr="00DB43C6" w14:paraId="0034BD22" w14:textId="77777777" w:rsidTr="00CB620B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07AC5640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WM signal abnormality</w:t>
            </w:r>
          </w:p>
        </w:tc>
        <w:tc>
          <w:tcPr>
            <w:tcW w:w="1080" w:type="dxa"/>
            <w:shd w:val="clear" w:color="auto" w:fill="auto"/>
          </w:tcPr>
          <w:p w14:paraId="79759144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24 (85.7)</w:t>
            </w:r>
          </w:p>
        </w:tc>
        <w:tc>
          <w:tcPr>
            <w:tcW w:w="990" w:type="dxa"/>
            <w:shd w:val="clear" w:color="auto" w:fill="auto"/>
          </w:tcPr>
          <w:p w14:paraId="2E52CA80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4 (14.3)</w:t>
            </w:r>
          </w:p>
        </w:tc>
        <w:tc>
          <w:tcPr>
            <w:tcW w:w="1080" w:type="dxa"/>
            <w:shd w:val="clear" w:color="auto" w:fill="auto"/>
          </w:tcPr>
          <w:p w14:paraId="392F6073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14 (82.4)</w:t>
            </w:r>
          </w:p>
        </w:tc>
        <w:tc>
          <w:tcPr>
            <w:tcW w:w="990" w:type="dxa"/>
            <w:shd w:val="clear" w:color="auto" w:fill="auto"/>
          </w:tcPr>
          <w:p w14:paraId="6993EE59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3 (17.7)</w:t>
            </w:r>
          </w:p>
        </w:tc>
        <w:tc>
          <w:tcPr>
            <w:tcW w:w="1080" w:type="dxa"/>
            <w:shd w:val="clear" w:color="auto" w:fill="auto"/>
          </w:tcPr>
          <w:p w14:paraId="6B2BAC9D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19 (70.4)</w:t>
            </w:r>
          </w:p>
        </w:tc>
        <w:tc>
          <w:tcPr>
            <w:tcW w:w="990" w:type="dxa"/>
            <w:shd w:val="clear" w:color="auto" w:fill="auto"/>
          </w:tcPr>
          <w:p w14:paraId="0589EC8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8 (13.8)</w:t>
            </w:r>
          </w:p>
        </w:tc>
        <w:tc>
          <w:tcPr>
            <w:tcW w:w="1170" w:type="dxa"/>
            <w:shd w:val="clear" w:color="auto" w:fill="auto"/>
          </w:tcPr>
          <w:p w14:paraId="17441405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10 (66.7)</w:t>
            </w:r>
          </w:p>
        </w:tc>
        <w:tc>
          <w:tcPr>
            <w:tcW w:w="990" w:type="dxa"/>
            <w:shd w:val="clear" w:color="auto" w:fill="auto"/>
          </w:tcPr>
          <w:p w14:paraId="29C0CBE6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5 (33.3)</w:t>
            </w:r>
          </w:p>
        </w:tc>
        <w:tc>
          <w:tcPr>
            <w:tcW w:w="720" w:type="dxa"/>
            <w:shd w:val="clear" w:color="auto" w:fill="auto"/>
          </w:tcPr>
          <w:p w14:paraId="645B065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-15.3</w:t>
            </w:r>
          </w:p>
        </w:tc>
        <w:tc>
          <w:tcPr>
            <w:tcW w:w="630" w:type="dxa"/>
            <w:shd w:val="clear" w:color="auto" w:fill="auto"/>
          </w:tcPr>
          <w:p w14:paraId="130F95B2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0.48</w:t>
            </w:r>
          </w:p>
        </w:tc>
        <w:tc>
          <w:tcPr>
            <w:tcW w:w="630" w:type="dxa"/>
            <w:shd w:val="clear" w:color="auto" w:fill="auto"/>
          </w:tcPr>
          <w:p w14:paraId="57EE8FD3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0.11</w:t>
            </w:r>
          </w:p>
        </w:tc>
        <w:tc>
          <w:tcPr>
            <w:tcW w:w="630" w:type="dxa"/>
            <w:shd w:val="clear" w:color="auto" w:fill="auto"/>
          </w:tcPr>
          <w:p w14:paraId="76107A66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sz w:val="22"/>
                <w:szCs w:val="22"/>
              </w:rPr>
              <w:t>0.2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713498B5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-15.7</w:t>
            </w:r>
          </w:p>
        </w:tc>
        <w:tc>
          <w:tcPr>
            <w:tcW w:w="630" w:type="dxa"/>
            <w:shd w:val="clear" w:color="auto" w:fill="auto"/>
          </w:tcPr>
          <w:p w14:paraId="09D34920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0.53</w:t>
            </w:r>
          </w:p>
        </w:tc>
        <w:tc>
          <w:tcPr>
            <w:tcW w:w="630" w:type="dxa"/>
            <w:shd w:val="clear" w:color="auto" w:fill="auto"/>
          </w:tcPr>
          <w:p w14:paraId="09A8FD5C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0.15</w:t>
            </w:r>
          </w:p>
        </w:tc>
        <w:tc>
          <w:tcPr>
            <w:tcW w:w="630" w:type="dxa"/>
            <w:shd w:val="clear" w:color="auto" w:fill="auto"/>
          </w:tcPr>
          <w:p w14:paraId="330C76C2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</w:tr>
      <w:tr w:rsidR="0048115F" w:rsidRPr="00DB43C6" w14:paraId="6AA172A8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02486DDD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WM myelination delay</w:t>
            </w:r>
          </w:p>
        </w:tc>
        <w:tc>
          <w:tcPr>
            <w:tcW w:w="1080" w:type="dxa"/>
            <w:shd w:val="clear" w:color="auto" w:fill="auto"/>
          </w:tcPr>
          <w:p w14:paraId="2FAB66B8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26 (92.9)</w:t>
            </w:r>
          </w:p>
        </w:tc>
        <w:tc>
          <w:tcPr>
            <w:tcW w:w="990" w:type="dxa"/>
            <w:shd w:val="clear" w:color="auto" w:fill="auto"/>
          </w:tcPr>
          <w:p w14:paraId="5D9061D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 (7.1)</w:t>
            </w:r>
          </w:p>
        </w:tc>
        <w:tc>
          <w:tcPr>
            <w:tcW w:w="1080" w:type="dxa"/>
            <w:shd w:val="clear" w:color="auto" w:fill="auto"/>
          </w:tcPr>
          <w:p w14:paraId="0707751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16 (94.1)</w:t>
            </w:r>
          </w:p>
        </w:tc>
        <w:tc>
          <w:tcPr>
            <w:tcW w:w="990" w:type="dxa"/>
            <w:shd w:val="clear" w:color="auto" w:fill="auto"/>
          </w:tcPr>
          <w:p w14:paraId="44233FF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(5.9)</w:t>
            </w:r>
          </w:p>
        </w:tc>
        <w:tc>
          <w:tcPr>
            <w:tcW w:w="1080" w:type="dxa"/>
            <w:shd w:val="clear" w:color="auto" w:fill="auto"/>
          </w:tcPr>
          <w:p w14:paraId="17595C9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26 (96.3)</w:t>
            </w:r>
          </w:p>
        </w:tc>
        <w:tc>
          <w:tcPr>
            <w:tcW w:w="990" w:type="dxa"/>
            <w:shd w:val="clear" w:color="auto" w:fill="auto"/>
          </w:tcPr>
          <w:p w14:paraId="5A42DF3B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(3.7)</w:t>
            </w:r>
          </w:p>
        </w:tc>
        <w:tc>
          <w:tcPr>
            <w:tcW w:w="1170" w:type="dxa"/>
            <w:shd w:val="clear" w:color="auto" w:fill="auto"/>
          </w:tcPr>
          <w:p w14:paraId="527ABF5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15 (100)</w:t>
            </w:r>
          </w:p>
        </w:tc>
        <w:tc>
          <w:tcPr>
            <w:tcW w:w="990" w:type="dxa"/>
            <w:shd w:val="clear" w:color="auto" w:fill="auto"/>
          </w:tcPr>
          <w:p w14:paraId="4A0C1FF6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720" w:type="dxa"/>
            <w:shd w:val="clear" w:color="auto" w:fill="auto"/>
          </w:tcPr>
          <w:p w14:paraId="4E32FDA7" w14:textId="77777777" w:rsidR="0048115F" w:rsidRPr="005E3DB5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30" w:type="dxa"/>
            <w:shd w:val="clear" w:color="auto" w:fill="auto"/>
          </w:tcPr>
          <w:p w14:paraId="1539CEFB" w14:textId="77777777" w:rsidR="0048115F" w:rsidRPr="005E3DB5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1.93</w:t>
            </w:r>
          </w:p>
        </w:tc>
        <w:tc>
          <w:tcPr>
            <w:tcW w:w="630" w:type="dxa"/>
            <w:shd w:val="clear" w:color="auto" w:fill="auto"/>
          </w:tcPr>
          <w:p w14:paraId="65C62875" w14:textId="77777777" w:rsidR="0048115F" w:rsidRPr="005E3DB5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0.06</w:t>
            </w:r>
          </w:p>
        </w:tc>
        <w:tc>
          <w:tcPr>
            <w:tcW w:w="630" w:type="dxa"/>
            <w:shd w:val="clear" w:color="auto" w:fill="auto"/>
          </w:tcPr>
          <w:p w14:paraId="7E0AEFF6" w14:textId="77777777" w:rsidR="0048115F" w:rsidRPr="005E3DB5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D82DB7">
              <w:rPr>
                <w:rFonts w:eastAsia="Times New Roman"/>
                <w:sz w:val="22"/>
                <w:szCs w:val="22"/>
              </w:rPr>
              <w:t>1.00</w:t>
            </w:r>
          </w:p>
        </w:tc>
        <w:tc>
          <w:tcPr>
            <w:tcW w:w="720" w:type="dxa"/>
            <w:shd w:val="clear" w:color="auto" w:fill="auto"/>
          </w:tcPr>
          <w:p w14:paraId="04A499F2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5.9</w:t>
            </w:r>
          </w:p>
        </w:tc>
        <w:tc>
          <w:tcPr>
            <w:tcW w:w="630" w:type="dxa"/>
            <w:shd w:val="clear" w:color="auto" w:fill="auto"/>
          </w:tcPr>
          <w:p w14:paraId="39B289D8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2.67</w:t>
            </w:r>
          </w:p>
        </w:tc>
        <w:tc>
          <w:tcPr>
            <w:tcW w:w="630" w:type="dxa"/>
            <w:shd w:val="clear" w:color="auto" w:fill="auto"/>
          </w:tcPr>
          <w:p w14:paraId="115EEE66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0.08</w:t>
            </w:r>
          </w:p>
        </w:tc>
        <w:tc>
          <w:tcPr>
            <w:tcW w:w="630" w:type="dxa"/>
            <w:shd w:val="clear" w:color="auto" w:fill="auto"/>
          </w:tcPr>
          <w:p w14:paraId="01EC8B1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1.0</w:t>
            </w: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</w:tr>
      <w:tr w:rsidR="0048115F" w:rsidRPr="00DB43C6" w14:paraId="17FAFE97" w14:textId="77777777" w:rsidTr="00CB620B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4EB88DCB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GM signal abnormality</w:t>
            </w:r>
          </w:p>
        </w:tc>
        <w:tc>
          <w:tcPr>
            <w:tcW w:w="1080" w:type="dxa"/>
            <w:shd w:val="clear" w:color="auto" w:fill="auto"/>
          </w:tcPr>
          <w:p w14:paraId="192491C5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27 (96.4)</w:t>
            </w:r>
          </w:p>
        </w:tc>
        <w:tc>
          <w:tcPr>
            <w:tcW w:w="990" w:type="dxa"/>
            <w:shd w:val="clear" w:color="auto" w:fill="auto"/>
          </w:tcPr>
          <w:p w14:paraId="2AF8F10F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(3.6)</w:t>
            </w:r>
          </w:p>
        </w:tc>
        <w:tc>
          <w:tcPr>
            <w:tcW w:w="1080" w:type="dxa"/>
            <w:shd w:val="clear" w:color="auto" w:fill="auto"/>
          </w:tcPr>
          <w:p w14:paraId="2B4492A9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16 (94.1)</w:t>
            </w:r>
          </w:p>
        </w:tc>
        <w:tc>
          <w:tcPr>
            <w:tcW w:w="990" w:type="dxa"/>
            <w:shd w:val="clear" w:color="auto" w:fill="auto"/>
          </w:tcPr>
          <w:p w14:paraId="00BB1871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(5.9)</w:t>
            </w:r>
          </w:p>
        </w:tc>
        <w:tc>
          <w:tcPr>
            <w:tcW w:w="1080" w:type="dxa"/>
            <w:shd w:val="clear" w:color="auto" w:fill="auto"/>
          </w:tcPr>
          <w:p w14:paraId="24A55FA0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26 (96.3)</w:t>
            </w:r>
          </w:p>
        </w:tc>
        <w:tc>
          <w:tcPr>
            <w:tcW w:w="990" w:type="dxa"/>
            <w:shd w:val="clear" w:color="auto" w:fill="auto"/>
          </w:tcPr>
          <w:p w14:paraId="775235EB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 (3.7)</w:t>
            </w:r>
          </w:p>
        </w:tc>
        <w:tc>
          <w:tcPr>
            <w:tcW w:w="1170" w:type="dxa"/>
            <w:shd w:val="clear" w:color="auto" w:fill="auto"/>
          </w:tcPr>
          <w:p w14:paraId="27EB77F0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15 (100)</w:t>
            </w:r>
          </w:p>
        </w:tc>
        <w:tc>
          <w:tcPr>
            <w:tcW w:w="990" w:type="dxa"/>
            <w:shd w:val="clear" w:color="auto" w:fill="auto"/>
          </w:tcPr>
          <w:p w14:paraId="0F65024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720" w:type="dxa"/>
            <w:shd w:val="clear" w:color="auto" w:fill="auto"/>
          </w:tcPr>
          <w:p w14:paraId="31158B07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-0.1</w:t>
            </w:r>
          </w:p>
        </w:tc>
        <w:tc>
          <w:tcPr>
            <w:tcW w:w="630" w:type="dxa"/>
            <w:shd w:val="clear" w:color="auto" w:fill="auto"/>
          </w:tcPr>
          <w:p w14:paraId="22836396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0.96</w:t>
            </w:r>
          </w:p>
        </w:tc>
        <w:tc>
          <w:tcPr>
            <w:tcW w:w="630" w:type="dxa"/>
            <w:shd w:val="clear" w:color="auto" w:fill="auto"/>
          </w:tcPr>
          <w:p w14:paraId="25903561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sz w:val="22"/>
                <w:szCs w:val="22"/>
              </w:rPr>
              <w:t>0.05</w:t>
            </w:r>
          </w:p>
        </w:tc>
        <w:tc>
          <w:tcPr>
            <w:tcW w:w="630" w:type="dxa"/>
            <w:shd w:val="clear" w:color="auto" w:fill="auto"/>
          </w:tcPr>
          <w:p w14:paraId="285C9372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NA</w:t>
            </w:r>
          </w:p>
        </w:tc>
        <w:tc>
          <w:tcPr>
            <w:tcW w:w="720" w:type="dxa"/>
            <w:shd w:val="clear" w:color="auto" w:fill="auto"/>
          </w:tcPr>
          <w:p w14:paraId="029141A7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5.9</w:t>
            </w:r>
          </w:p>
        </w:tc>
        <w:tc>
          <w:tcPr>
            <w:tcW w:w="630" w:type="dxa"/>
            <w:shd w:val="clear" w:color="auto" w:fill="auto"/>
          </w:tcPr>
          <w:p w14:paraId="199050D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2.67</w:t>
            </w:r>
          </w:p>
        </w:tc>
        <w:tc>
          <w:tcPr>
            <w:tcW w:w="630" w:type="dxa"/>
            <w:shd w:val="clear" w:color="auto" w:fill="auto"/>
          </w:tcPr>
          <w:p w14:paraId="507A82F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sz w:val="22"/>
                <w:szCs w:val="22"/>
              </w:rPr>
              <w:t>0.08</w:t>
            </w:r>
          </w:p>
        </w:tc>
        <w:tc>
          <w:tcPr>
            <w:tcW w:w="630" w:type="dxa"/>
            <w:shd w:val="clear" w:color="auto" w:fill="auto"/>
          </w:tcPr>
          <w:p w14:paraId="06FFA21E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NA</w:t>
            </w:r>
          </w:p>
        </w:tc>
      </w:tr>
      <w:tr w:rsidR="0048115F" w:rsidRPr="00DB43C6" w14:paraId="48BF05E3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1305A859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D</w:t>
            </w: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GM signal abnormality</w:t>
            </w:r>
          </w:p>
        </w:tc>
        <w:tc>
          <w:tcPr>
            <w:tcW w:w="1080" w:type="dxa"/>
            <w:shd w:val="clear" w:color="auto" w:fill="auto"/>
          </w:tcPr>
          <w:p w14:paraId="5B18085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28 (100)</w:t>
            </w:r>
          </w:p>
        </w:tc>
        <w:tc>
          <w:tcPr>
            <w:tcW w:w="990" w:type="dxa"/>
            <w:shd w:val="clear" w:color="auto" w:fill="auto"/>
          </w:tcPr>
          <w:p w14:paraId="4405D42B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080" w:type="dxa"/>
            <w:shd w:val="clear" w:color="auto" w:fill="auto"/>
          </w:tcPr>
          <w:p w14:paraId="2EA93D2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17 (100)</w:t>
            </w:r>
          </w:p>
        </w:tc>
        <w:tc>
          <w:tcPr>
            <w:tcW w:w="990" w:type="dxa"/>
            <w:shd w:val="clear" w:color="auto" w:fill="auto"/>
          </w:tcPr>
          <w:p w14:paraId="2D9CD319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080" w:type="dxa"/>
            <w:shd w:val="clear" w:color="auto" w:fill="auto"/>
          </w:tcPr>
          <w:p w14:paraId="745B2133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27 (100)</w:t>
            </w:r>
          </w:p>
        </w:tc>
        <w:tc>
          <w:tcPr>
            <w:tcW w:w="990" w:type="dxa"/>
            <w:shd w:val="clear" w:color="auto" w:fill="auto"/>
          </w:tcPr>
          <w:p w14:paraId="6715876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170" w:type="dxa"/>
            <w:shd w:val="clear" w:color="auto" w:fill="auto"/>
          </w:tcPr>
          <w:p w14:paraId="3FF96200" w14:textId="77777777" w:rsidR="0048115F" w:rsidRPr="0097403A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 (93.3</w:t>
            </w:r>
            <w:r w:rsidRPr="0097403A">
              <w:rPr>
                <w:rFonts w:eastAsia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5D316813" w14:textId="77777777" w:rsidR="0048115F" w:rsidRPr="0097403A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(6.7</w:t>
            </w:r>
            <w:r w:rsidRPr="0097403A">
              <w:rPr>
                <w:rFonts w:eastAsia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14:paraId="4B728515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630" w:type="dxa"/>
            <w:shd w:val="clear" w:color="auto" w:fill="auto"/>
          </w:tcPr>
          <w:p w14:paraId="03684ADA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530C46F7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190B4D4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sz w:val="22"/>
                <w:szCs w:val="22"/>
              </w:rPr>
              <w:t>0.2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14:paraId="61A10EB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-6.7</w:t>
            </w:r>
          </w:p>
        </w:tc>
        <w:tc>
          <w:tcPr>
            <w:tcW w:w="630" w:type="dxa"/>
            <w:shd w:val="clear" w:color="auto" w:fill="auto"/>
          </w:tcPr>
          <w:p w14:paraId="7ABF2FFD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0.30</w:t>
            </w:r>
          </w:p>
        </w:tc>
        <w:tc>
          <w:tcPr>
            <w:tcW w:w="630" w:type="dxa"/>
            <w:shd w:val="clear" w:color="auto" w:fill="auto"/>
          </w:tcPr>
          <w:p w14:paraId="13A0FA1E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630" w:type="dxa"/>
            <w:shd w:val="clear" w:color="auto" w:fill="auto"/>
          </w:tcPr>
          <w:p w14:paraId="21A81875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</w:tr>
      <w:tr w:rsidR="0048115F" w:rsidRPr="00DB43C6" w14:paraId="20826AEF" w14:textId="77777777" w:rsidTr="00CB620B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6351B6F2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CER signal abnormality</w:t>
            </w:r>
          </w:p>
        </w:tc>
        <w:tc>
          <w:tcPr>
            <w:tcW w:w="1080" w:type="dxa"/>
            <w:shd w:val="clear" w:color="auto" w:fill="auto"/>
          </w:tcPr>
          <w:p w14:paraId="50E447D1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28 (100)</w:t>
            </w:r>
          </w:p>
        </w:tc>
        <w:tc>
          <w:tcPr>
            <w:tcW w:w="990" w:type="dxa"/>
            <w:shd w:val="clear" w:color="auto" w:fill="auto"/>
          </w:tcPr>
          <w:p w14:paraId="60A3F7F6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080" w:type="dxa"/>
            <w:shd w:val="clear" w:color="auto" w:fill="auto"/>
          </w:tcPr>
          <w:p w14:paraId="0D6C8CCF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17 (100)</w:t>
            </w:r>
          </w:p>
        </w:tc>
        <w:tc>
          <w:tcPr>
            <w:tcW w:w="990" w:type="dxa"/>
            <w:shd w:val="clear" w:color="auto" w:fill="auto"/>
          </w:tcPr>
          <w:p w14:paraId="18629F05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080" w:type="dxa"/>
            <w:shd w:val="clear" w:color="auto" w:fill="auto"/>
          </w:tcPr>
          <w:p w14:paraId="1A7B30AD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25 (92.6)</w:t>
            </w:r>
          </w:p>
        </w:tc>
        <w:tc>
          <w:tcPr>
            <w:tcW w:w="990" w:type="dxa"/>
            <w:shd w:val="clear" w:color="auto" w:fill="auto"/>
          </w:tcPr>
          <w:p w14:paraId="0307169F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 (7.4)</w:t>
            </w:r>
          </w:p>
        </w:tc>
        <w:tc>
          <w:tcPr>
            <w:tcW w:w="1170" w:type="dxa"/>
            <w:shd w:val="clear" w:color="auto" w:fill="auto"/>
          </w:tcPr>
          <w:p w14:paraId="41FB86F6" w14:textId="77777777" w:rsidR="0048115F" w:rsidRPr="0097403A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15 (100)</w:t>
            </w:r>
          </w:p>
        </w:tc>
        <w:tc>
          <w:tcPr>
            <w:tcW w:w="990" w:type="dxa"/>
            <w:shd w:val="clear" w:color="auto" w:fill="auto"/>
          </w:tcPr>
          <w:p w14:paraId="697563DC" w14:textId="77777777" w:rsidR="0048115F" w:rsidRPr="0097403A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720" w:type="dxa"/>
            <w:shd w:val="clear" w:color="auto" w:fill="auto"/>
          </w:tcPr>
          <w:p w14:paraId="5784CD41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630" w:type="dxa"/>
            <w:shd w:val="clear" w:color="auto" w:fill="auto"/>
          </w:tcPr>
          <w:p w14:paraId="1CC32AC1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064BF66C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2B394B94" w14:textId="77777777" w:rsidR="0048115F" w:rsidRPr="005E3DB5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1.00</w:t>
            </w:r>
          </w:p>
        </w:tc>
        <w:tc>
          <w:tcPr>
            <w:tcW w:w="720" w:type="dxa"/>
            <w:shd w:val="clear" w:color="auto" w:fill="auto"/>
          </w:tcPr>
          <w:p w14:paraId="50152509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630" w:type="dxa"/>
            <w:shd w:val="clear" w:color="auto" w:fill="auto"/>
          </w:tcPr>
          <w:p w14:paraId="563AB3EB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25151C8F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35F559CA" w14:textId="77777777" w:rsidR="0048115F" w:rsidRPr="00D82DB7" w:rsidRDefault="0048115F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48115F" w:rsidRPr="00DB43C6" w14:paraId="5558F36A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64D106A" w14:textId="77777777" w:rsidR="0048115F" w:rsidRPr="00DB43C6" w:rsidRDefault="0048115F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IVH grade abnormality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57B9830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23 (82.1)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18A2F92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5 (17.9)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D4FCE7A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14 (82.4)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B10161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3 (17.7)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68E9ED0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23 (85.2)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86F4A5C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4 (14.8)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84791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12 (80)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052781F7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color w:val="000000"/>
                <w:sz w:val="22"/>
                <w:szCs w:val="22"/>
              </w:rPr>
              <w:t>3 (16.7)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57B1A331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54CE6D0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0E3AC5A0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7FBC312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D82DB7">
              <w:rPr>
                <w:rFonts w:eastAsia="Times New Roman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71B7E2C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-2.3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36835B6F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68579042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E826FB">
              <w:rPr>
                <w:rFonts w:eastAsia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02461324" w14:textId="77777777" w:rsidR="0048115F" w:rsidRPr="00D82DB7" w:rsidRDefault="0048115F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1.00</w:t>
            </w:r>
          </w:p>
        </w:tc>
      </w:tr>
    </w:tbl>
    <w:p w14:paraId="507F1136" w14:textId="77777777" w:rsidR="0048115F" w:rsidRPr="005E256D" w:rsidRDefault="0048115F" w:rsidP="0048115F">
      <w:pPr>
        <w:spacing w:before="40" w:after="40"/>
        <w:ind w:left="-900" w:right="-720"/>
        <w:rPr>
          <w:sz w:val="20"/>
          <w:szCs w:val="20"/>
        </w:rPr>
      </w:pPr>
      <w:r w:rsidRPr="005E256D">
        <w:rPr>
          <w:sz w:val="20"/>
          <w:szCs w:val="20"/>
        </w:rPr>
        <w:t xml:space="preserve">Group summaries are </w:t>
      </w:r>
      <w:r w:rsidRPr="005E256D">
        <w:rPr>
          <w:i/>
          <w:sz w:val="20"/>
          <w:szCs w:val="20"/>
        </w:rPr>
        <w:t>n (%)</w:t>
      </w:r>
    </w:p>
    <w:p w14:paraId="35C41E15" w14:textId="77777777" w:rsidR="0048115F" w:rsidRDefault="0048115F" w:rsidP="0048115F">
      <w:pPr>
        <w:spacing w:before="40" w:after="40"/>
        <w:ind w:left="-900" w:right="-1080"/>
        <w:rPr>
          <w:sz w:val="20"/>
          <w:szCs w:val="20"/>
        </w:rPr>
      </w:pPr>
      <w:r w:rsidRPr="001368EF">
        <w:rPr>
          <w:sz w:val="20"/>
          <w:szCs w:val="20"/>
        </w:rPr>
        <w:t xml:space="preserve">CER – cerebellum; DGM – deep grey matter; GM – grey matter; IVH – intraventricular hemorrhage; POM – pomegranate; </w:t>
      </w:r>
      <w:r>
        <w:rPr>
          <w:sz w:val="20"/>
          <w:szCs w:val="20"/>
        </w:rPr>
        <w:t xml:space="preserve">RD – risk difference; RR – relative risk; </w:t>
      </w:r>
      <w:r w:rsidRPr="001368EF">
        <w:rPr>
          <w:sz w:val="20"/>
          <w:szCs w:val="20"/>
        </w:rPr>
        <w:t>WM – white matter</w:t>
      </w:r>
    </w:p>
    <w:p w14:paraId="3FC2E0D3" w14:textId="77777777" w:rsidR="0048115F" w:rsidRPr="00714D19" w:rsidRDefault="0048115F" w:rsidP="0048115F">
      <w:pPr>
        <w:spacing w:before="40" w:after="40"/>
        <w:ind w:left="-900" w:right="-1080"/>
        <w:jc w:val="both"/>
        <w:rPr>
          <w:sz w:val="20"/>
          <w:szCs w:val="20"/>
        </w:rPr>
      </w:pPr>
      <w:r w:rsidRPr="00714D19">
        <w:rPr>
          <w:sz w:val="20"/>
          <w:szCs w:val="20"/>
          <w:vertAlign w:val="superscript"/>
        </w:rPr>
        <w:t>1.</w:t>
      </w:r>
      <w:r w:rsidRPr="00714D19">
        <w:rPr>
          <w:sz w:val="20"/>
          <w:szCs w:val="20"/>
        </w:rPr>
        <w:t xml:space="preserve">Absolute effect size calculated as the mean difference for continuous variables, </w:t>
      </w:r>
      <w:r>
        <w:rPr>
          <w:sz w:val="20"/>
          <w:szCs w:val="20"/>
        </w:rPr>
        <w:t xml:space="preserve">and </w:t>
      </w:r>
      <w:r w:rsidRPr="00714D19">
        <w:rPr>
          <w:sz w:val="20"/>
          <w:szCs w:val="20"/>
        </w:rPr>
        <w:t>the risk difference (%) for categorical</w:t>
      </w:r>
      <w:r>
        <w:rPr>
          <w:sz w:val="20"/>
          <w:szCs w:val="20"/>
        </w:rPr>
        <w:t xml:space="preserve"> variables</w:t>
      </w:r>
      <w:r w:rsidRPr="00714D19">
        <w:rPr>
          <w:sz w:val="20"/>
          <w:szCs w:val="20"/>
        </w:rPr>
        <w:t xml:space="preserve"> (Placebo = reference)</w:t>
      </w:r>
    </w:p>
    <w:p w14:paraId="3237C649" w14:textId="77777777" w:rsidR="0048115F" w:rsidRPr="00714D19" w:rsidRDefault="0048115F" w:rsidP="0048115F">
      <w:pPr>
        <w:spacing w:before="40" w:after="40"/>
        <w:ind w:left="-900" w:right="-1080"/>
        <w:jc w:val="both"/>
        <w:rPr>
          <w:sz w:val="20"/>
          <w:szCs w:val="20"/>
        </w:rPr>
      </w:pPr>
      <w:r w:rsidRPr="00714D19">
        <w:rPr>
          <w:sz w:val="20"/>
          <w:szCs w:val="20"/>
          <w:vertAlign w:val="superscript"/>
        </w:rPr>
        <w:t>2.</w:t>
      </w:r>
      <w:r w:rsidRPr="00714D19">
        <w:rPr>
          <w:sz w:val="20"/>
          <w:szCs w:val="20"/>
        </w:rPr>
        <w:t xml:space="preserve">Relative effect size calculated as Cohen’s </w:t>
      </w:r>
      <w:r w:rsidRPr="00714D19">
        <w:rPr>
          <w:i/>
          <w:sz w:val="20"/>
          <w:szCs w:val="20"/>
        </w:rPr>
        <w:t>d</w:t>
      </w:r>
      <w:r w:rsidRPr="00714D19">
        <w:rPr>
          <w:sz w:val="20"/>
          <w:szCs w:val="20"/>
        </w:rPr>
        <w:t xml:space="preserve"> for continuous variables, </w:t>
      </w:r>
      <w:r>
        <w:rPr>
          <w:sz w:val="20"/>
          <w:szCs w:val="20"/>
        </w:rPr>
        <w:t xml:space="preserve">and </w:t>
      </w:r>
      <w:r w:rsidRPr="00714D19">
        <w:rPr>
          <w:sz w:val="20"/>
          <w:szCs w:val="20"/>
        </w:rPr>
        <w:t xml:space="preserve">the relative risk for categorical </w:t>
      </w:r>
      <w:r>
        <w:rPr>
          <w:sz w:val="20"/>
          <w:szCs w:val="20"/>
        </w:rPr>
        <w:t xml:space="preserve">variables </w:t>
      </w:r>
      <w:r w:rsidRPr="00714D19">
        <w:rPr>
          <w:sz w:val="20"/>
          <w:szCs w:val="20"/>
        </w:rPr>
        <w:t>(Placebo = reference).  For analyses with zero in one or more cells, 0.5</w:t>
      </w:r>
      <w:r>
        <w:rPr>
          <w:sz w:val="20"/>
          <w:szCs w:val="20"/>
        </w:rPr>
        <w:t xml:space="preserve"> was added</w:t>
      </w:r>
      <w:r w:rsidRPr="00714D19">
        <w:rPr>
          <w:sz w:val="20"/>
          <w:szCs w:val="20"/>
        </w:rPr>
        <w:t xml:space="preserve"> to each cell prior to calculation of the relative risk and its standard error</w:t>
      </w:r>
      <w:r>
        <w:rPr>
          <w:sz w:val="20"/>
          <w:szCs w:val="20"/>
        </w:rPr>
        <w:t xml:space="preserve"> (SE)</w:t>
      </w:r>
      <w:r w:rsidRPr="00714D19">
        <w:rPr>
          <w:sz w:val="20"/>
          <w:szCs w:val="20"/>
        </w:rPr>
        <w:t xml:space="preserve">. Corresponding </w:t>
      </w:r>
      <w:r>
        <w:rPr>
          <w:sz w:val="20"/>
          <w:szCs w:val="20"/>
        </w:rPr>
        <w:t xml:space="preserve">SE </w:t>
      </w:r>
      <w:r w:rsidRPr="00714D19">
        <w:rPr>
          <w:sz w:val="20"/>
          <w:szCs w:val="20"/>
        </w:rPr>
        <w:t>are reported.</w:t>
      </w:r>
    </w:p>
    <w:p w14:paraId="20BEAAE0" w14:textId="77777777" w:rsidR="0048115F" w:rsidRPr="00714D19" w:rsidRDefault="0048115F" w:rsidP="0048115F">
      <w:pPr>
        <w:spacing w:before="40" w:after="40"/>
        <w:ind w:left="-900" w:right="-1080"/>
        <w:jc w:val="both"/>
        <w:rPr>
          <w:sz w:val="20"/>
          <w:szCs w:val="20"/>
        </w:rPr>
      </w:pPr>
      <w:r w:rsidRPr="00714D19">
        <w:rPr>
          <w:sz w:val="20"/>
          <w:szCs w:val="20"/>
          <w:vertAlign w:val="superscript"/>
        </w:rPr>
        <w:t>3.</w:t>
      </w:r>
      <w:r w:rsidRPr="00714D19">
        <w:rPr>
          <w:sz w:val="20"/>
          <w:szCs w:val="20"/>
        </w:rPr>
        <w:t xml:space="preserve">Fisher’s exact test (2-sided) used to compare proportions by group </w:t>
      </w:r>
      <w:r>
        <w:rPr>
          <w:sz w:val="20"/>
          <w:szCs w:val="20"/>
        </w:rPr>
        <w:t>due to</w:t>
      </w:r>
      <w:r w:rsidRPr="00714D19">
        <w:rPr>
          <w:sz w:val="20"/>
          <w:szCs w:val="20"/>
        </w:rPr>
        <w:t xml:space="preserve"> cell size</w:t>
      </w:r>
      <w:r>
        <w:rPr>
          <w:sz w:val="20"/>
          <w:szCs w:val="20"/>
        </w:rPr>
        <w:t>s</w:t>
      </w:r>
      <w:r w:rsidRPr="00714D19">
        <w:rPr>
          <w:sz w:val="20"/>
          <w:szCs w:val="20"/>
        </w:rPr>
        <w:t xml:space="preserve"> &lt; 5.  </w:t>
      </w:r>
    </w:p>
    <w:p w14:paraId="4DAE0A5F" w14:textId="77777777" w:rsidR="0048115F" w:rsidRDefault="0048115F" w:rsidP="0048115F">
      <w:pPr>
        <w:spacing w:before="40" w:after="40"/>
        <w:ind w:left="-540" w:right="-585"/>
        <w:jc w:val="both"/>
        <w:rPr>
          <w:sz w:val="20"/>
          <w:szCs w:val="20"/>
        </w:rPr>
      </w:pPr>
    </w:p>
    <w:p w14:paraId="28D0C4CA" w14:textId="77777777" w:rsidR="0048115F" w:rsidRDefault="0048115F" w:rsidP="0048115F">
      <w:pPr>
        <w:spacing w:before="40" w:after="40"/>
        <w:ind w:right="-720"/>
        <w:rPr>
          <w:sz w:val="20"/>
          <w:szCs w:val="20"/>
        </w:rPr>
      </w:pPr>
      <w:bookmarkStart w:id="0" w:name="_GoBack"/>
      <w:bookmarkEnd w:id="0"/>
    </w:p>
    <w:sectPr w:rsidR="0048115F" w:rsidSect="00F40469">
      <w:footerReference w:type="even" r:id="rId5"/>
      <w:footerReference w:type="default" r:id="rId6"/>
      <w:pgSz w:w="15840" w:h="12240" w:orient="landscape"/>
      <w:pgMar w:top="1440" w:right="1440" w:bottom="126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324BB" w14:textId="77777777" w:rsidR="007D0A74" w:rsidRDefault="0048115F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34DC96" w14:textId="77777777" w:rsidR="007D0A74" w:rsidRDefault="0048115F" w:rsidP="007D0A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A1C2C" w14:textId="77777777" w:rsidR="007D0A74" w:rsidRDefault="0048115F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7B7AC" w14:textId="77777777" w:rsidR="007D0A74" w:rsidRDefault="0048115F" w:rsidP="007D0A74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5E9"/>
    <w:multiLevelType w:val="multilevel"/>
    <w:tmpl w:val="9412EDA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36F370D"/>
    <w:multiLevelType w:val="hybridMultilevel"/>
    <w:tmpl w:val="B5AAB4E0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034CE"/>
    <w:multiLevelType w:val="hybridMultilevel"/>
    <w:tmpl w:val="D5B8A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9C9"/>
    <w:multiLevelType w:val="multilevel"/>
    <w:tmpl w:val="1740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D31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A90111"/>
    <w:multiLevelType w:val="hybridMultilevel"/>
    <w:tmpl w:val="2D349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E45AB"/>
    <w:multiLevelType w:val="hybridMultilevel"/>
    <w:tmpl w:val="C846CDCC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6677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8" w15:restartNumberingAfterBreak="0">
    <w:nsid w:val="442D3413"/>
    <w:multiLevelType w:val="hybridMultilevel"/>
    <w:tmpl w:val="5BA421E4"/>
    <w:lvl w:ilvl="0" w:tplc="62AA889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F7A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C61E29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11" w15:restartNumberingAfterBreak="0">
    <w:nsid w:val="4B9A0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FC4177"/>
    <w:multiLevelType w:val="hybridMultilevel"/>
    <w:tmpl w:val="7138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6268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571A3B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DF3E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C03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2D5F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325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7E1F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614B24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7"/>
  </w:num>
  <w:num w:numId="8">
    <w:abstractNumId w:val="20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4"/>
  </w:num>
  <w:num w:numId="14">
    <w:abstractNumId w:val="18"/>
  </w:num>
  <w:num w:numId="15">
    <w:abstractNumId w:val="19"/>
  </w:num>
  <w:num w:numId="16">
    <w:abstractNumId w:val="5"/>
  </w:num>
  <w:num w:numId="17">
    <w:abstractNumId w:val="12"/>
  </w:num>
  <w:num w:numId="18">
    <w:abstractNumId w:val="9"/>
  </w:num>
  <w:num w:numId="19">
    <w:abstractNumId w:val="16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15F"/>
    <w:rsid w:val="002755D4"/>
    <w:rsid w:val="003D0F76"/>
    <w:rsid w:val="0048115F"/>
    <w:rsid w:val="00491516"/>
    <w:rsid w:val="00733011"/>
    <w:rsid w:val="00764A13"/>
    <w:rsid w:val="00F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CF274"/>
  <w15:chartTrackingRefBased/>
  <w15:docId w15:val="{E1127969-D002-4644-8427-BB55C9E6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115F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11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15F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1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15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2">
    <w:name w:val="s2"/>
    <w:basedOn w:val="Normal"/>
    <w:rsid w:val="0048115F"/>
    <w:pPr>
      <w:spacing w:before="100" w:beforeAutospacing="1" w:after="100" w:afterAutospacing="1"/>
    </w:pPr>
  </w:style>
  <w:style w:type="character" w:customStyle="1" w:styleId="s21">
    <w:name w:val="s21"/>
    <w:basedOn w:val="DefaultParagraphFont"/>
    <w:rsid w:val="0048115F"/>
  </w:style>
  <w:style w:type="character" w:customStyle="1" w:styleId="apple-converted-space">
    <w:name w:val="apple-converted-space"/>
    <w:basedOn w:val="DefaultParagraphFont"/>
    <w:rsid w:val="0048115F"/>
  </w:style>
  <w:style w:type="paragraph" w:customStyle="1" w:styleId="s4">
    <w:name w:val="s4"/>
    <w:basedOn w:val="Normal"/>
    <w:rsid w:val="0048115F"/>
    <w:pPr>
      <w:spacing w:before="100" w:beforeAutospacing="1" w:after="100" w:afterAutospacing="1"/>
    </w:pPr>
  </w:style>
  <w:style w:type="character" w:customStyle="1" w:styleId="s3">
    <w:name w:val="s3"/>
    <w:basedOn w:val="DefaultParagraphFont"/>
    <w:rsid w:val="0048115F"/>
  </w:style>
  <w:style w:type="character" w:customStyle="1" w:styleId="s5">
    <w:name w:val="s5"/>
    <w:basedOn w:val="DefaultParagraphFont"/>
    <w:rsid w:val="0048115F"/>
  </w:style>
  <w:style w:type="paragraph" w:customStyle="1" w:styleId="Normal1">
    <w:name w:val="Normal1"/>
    <w:rsid w:val="0048115F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48115F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4811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8115F"/>
  </w:style>
  <w:style w:type="character" w:customStyle="1" w:styleId="CommentTextChar">
    <w:name w:val="Comment Text Char"/>
    <w:basedOn w:val="DefaultParagraphFont"/>
    <w:link w:val="CommentText"/>
    <w:uiPriority w:val="99"/>
    <w:rsid w:val="0048115F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1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15F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15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15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8115F"/>
    <w:rPr>
      <w:color w:val="0000FF"/>
      <w:u w:val="single"/>
    </w:rPr>
  </w:style>
  <w:style w:type="paragraph" w:customStyle="1" w:styleId="EndNoteBibliographyTitle">
    <w:name w:val="EndNote Bibliography Title"/>
    <w:basedOn w:val="Normal"/>
    <w:rsid w:val="0048115F"/>
    <w:pPr>
      <w:jc w:val="center"/>
    </w:pPr>
  </w:style>
  <w:style w:type="paragraph" w:customStyle="1" w:styleId="EndNoteBibliography">
    <w:name w:val="EndNote Bibliography"/>
    <w:basedOn w:val="Normal"/>
    <w:rsid w:val="0048115F"/>
  </w:style>
  <w:style w:type="paragraph" w:styleId="ListParagraph">
    <w:name w:val="List Paragraph"/>
    <w:basedOn w:val="Normal"/>
    <w:uiPriority w:val="34"/>
    <w:qFormat/>
    <w:rsid w:val="0048115F"/>
    <w:pPr>
      <w:spacing w:before="100" w:beforeAutospacing="1" w:after="100" w:afterAutospacing="1" w:line="480" w:lineRule="auto"/>
      <w:ind w:left="720"/>
      <w:contextualSpacing/>
      <w:jc w:val="both"/>
    </w:pPr>
    <w:rPr>
      <w:lang w:val="en-AU"/>
    </w:rPr>
  </w:style>
  <w:style w:type="table" w:styleId="PlainTable4">
    <w:name w:val="Plain Table 4"/>
    <w:basedOn w:val="TableNormal"/>
    <w:uiPriority w:val="44"/>
    <w:rsid w:val="0048115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115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4811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48115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48115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8115F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115F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481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8115F"/>
    <w:rPr>
      <w:rFonts w:ascii="Times New Roman" w:hAnsi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48115F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48115F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48115F"/>
    <w:rPr>
      <w:i/>
      <w:iCs/>
    </w:rPr>
  </w:style>
  <w:style w:type="paragraph" w:customStyle="1" w:styleId="p1">
    <w:name w:val="p1"/>
    <w:basedOn w:val="Normal"/>
    <w:rsid w:val="0048115F"/>
    <w:pPr>
      <w:ind w:left="540" w:hanging="540"/>
    </w:pPr>
    <w:rPr>
      <w:rFonts w:ascii="Helvetica" w:hAnsi="Helvetic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811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15F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8115F"/>
  </w:style>
  <w:style w:type="character" w:styleId="PlaceholderText">
    <w:name w:val="Placeholder Text"/>
    <w:basedOn w:val="DefaultParagraphFont"/>
    <w:uiPriority w:val="99"/>
    <w:semiHidden/>
    <w:rsid w:val="004811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Matthews</dc:creator>
  <cp:keywords/>
  <dc:description/>
  <cp:lastModifiedBy>Lillian Matthews</cp:lastModifiedBy>
  <cp:revision>1</cp:revision>
  <dcterms:created xsi:type="dcterms:W3CDTF">2018-12-01T03:19:00Z</dcterms:created>
  <dcterms:modified xsi:type="dcterms:W3CDTF">2018-12-01T03:19:00Z</dcterms:modified>
</cp:coreProperties>
</file>