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B3F" w:rsidRPr="00E170A6" w:rsidRDefault="00AF3B3F" w:rsidP="00AF3B3F">
      <w:pPr>
        <w:pStyle w:val="NoSpacing"/>
        <w:spacing w:line="480" w:lineRule="auto"/>
        <w:outlineLvl w:val="0"/>
        <w:rPr>
          <w:rStyle w:val="PageNumber"/>
          <w:rFonts w:ascii="Arial" w:eastAsia="Arial" w:hAnsi="Arial" w:cs="Arial"/>
          <w:b/>
          <w:bCs/>
          <w:sz w:val="22"/>
          <w:szCs w:val="22"/>
        </w:rPr>
      </w:pPr>
      <w:proofErr w:type="spellStart"/>
      <w:r w:rsidRPr="00E170A6">
        <w:rPr>
          <w:rStyle w:val="PageNumber"/>
          <w:rFonts w:ascii="Arial" w:hAnsi="Arial" w:cs="Arial"/>
          <w:b/>
          <w:bCs/>
          <w:sz w:val="22"/>
          <w:szCs w:val="22"/>
        </w:rPr>
        <w:t>Supplementary</w:t>
      </w:r>
      <w:proofErr w:type="spellEnd"/>
      <w:r w:rsidRPr="00E170A6">
        <w:rPr>
          <w:rStyle w:val="PageNumber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170A6">
        <w:rPr>
          <w:rStyle w:val="PageNumber"/>
          <w:rFonts w:ascii="Arial" w:hAnsi="Arial" w:cs="Arial"/>
          <w:b/>
          <w:bCs/>
          <w:sz w:val="22"/>
          <w:szCs w:val="22"/>
        </w:rPr>
        <w:t>References</w:t>
      </w:r>
      <w:proofErr w:type="spellEnd"/>
    </w:p>
    <w:p w:rsidR="00AF3B3F" w:rsidRPr="003A0552" w:rsidRDefault="00AF3B3F" w:rsidP="00AF3B3F">
      <w:pPr>
        <w:pStyle w:val="NoSpacing"/>
        <w:tabs>
          <w:tab w:val="left" w:pos="360"/>
        </w:tabs>
        <w:spacing w:line="480" w:lineRule="auto"/>
        <w:rPr>
          <w:rStyle w:val="PageNumber"/>
          <w:rFonts w:ascii="Arial" w:hAnsi="Arial" w:cs="Arial"/>
          <w:kern w:val="3"/>
          <w:sz w:val="22"/>
          <w:szCs w:val="22"/>
        </w:rPr>
      </w:pPr>
      <w:r w:rsidRPr="003A0552">
        <w:rPr>
          <w:rStyle w:val="PageNumber"/>
          <w:rFonts w:ascii="Arial" w:hAnsi="Arial" w:cs="Arial"/>
          <w:kern w:val="3"/>
          <w:sz w:val="22"/>
          <w:szCs w:val="22"/>
        </w:rPr>
        <w:t>1.</w:t>
      </w:r>
      <w:r w:rsidRPr="003A0552">
        <w:rPr>
          <w:rStyle w:val="PageNumber"/>
          <w:rFonts w:ascii="Arial" w:hAnsi="Arial" w:cs="Arial"/>
          <w:kern w:val="3"/>
          <w:sz w:val="22"/>
          <w:szCs w:val="22"/>
        </w:rPr>
        <w:tab/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Solga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AC,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Pong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WW, Kim KY et al. RNA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Sequencing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of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Tumor-Associated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Microglia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Reveals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Ccl5 as a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Stromal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Chemokine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Critical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for Neurofibromatosis-1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Glioma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Growth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,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Neoplasia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2015</w:t>
      </w:r>
      <w:proofErr w:type="gram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;17:776</w:t>
      </w:r>
      <w:proofErr w:type="gram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-788.</w:t>
      </w:r>
    </w:p>
    <w:p w:rsidR="00AF3B3F" w:rsidRPr="003A0552" w:rsidRDefault="00AF3B3F" w:rsidP="00AF3B3F">
      <w:pPr>
        <w:pStyle w:val="NoSpacing"/>
        <w:tabs>
          <w:tab w:val="left" w:pos="360"/>
        </w:tabs>
        <w:spacing w:line="480" w:lineRule="auto"/>
        <w:rPr>
          <w:rStyle w:val="PageNumber"/>
          <w:rFonts w:ascii="Arial" w:hAnsi="Arial" w:cs="Arial"/>
          <w:kern w:val="3"/>
          <w:sz w:val="22"/>
          <w:szCs w:val="22"/>
        </w:rPr>
      </w:pPr>
      <w:r w:rsidRPr="003A0552">
        <w:rPr>
          <w:rStyle w:val="PageNumber"/>
          <w:rFonts w:ascii="Arial" w:hAnsi="Arial" w:cs="Arial"/>
          <w:kern w:val="3"/>
          <w:sz w:val="22"/>
          <w:szCs w:val="22"/>
        </w:rPr>
        <w:t>2.</w:t>
      </w:r>
      <w:r w:rsidRPr="003A0552">
        <w:rPr>
          <w:rStyle w:val="PageNumber"/>
          <w:rFonts w:ascii="Arial" w:hAnsi="Arial" w:cs="Arial"/>
          <w:kern w:val="3"/>
          <w:sz w:val="22"/>
          <w:szCs w:val="22"/>
        </w:rPr>
        <w:tab/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Dasgupta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B, Yi Y, Chen DY et al.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Proteomic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analysis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reveals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hyperactivation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of the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mammalian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target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of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rapamycin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pathway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in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neurofibromatosis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1-associated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human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and mouse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brain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tumors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, Cancer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Res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2005</w:t>
      </w:r>
      <w:proofErr w:type="gram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;65:2755</w:t>
      </w:r>
      <w:proofErr w:type="gram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-2760.</w:t>
      </w:r>
    </w:p>
    <w:p w:rsidR="00AF3B3F" w:rsidRPr="003A0552" w:rsidRDefault="00AF3B3F" w:rsidP="00AF3B3F">
      <w:pPr>
        <w:pStyle w:val="NoSpacing"/>
        <w:tabs>
          <w:tab w:val="left" w:pos="360"/>
        </w:tabs>
        <w:spacing w:line="480" w:lineRule="auto"/>
        <w:rPr>
          <w:rStyle w:val="PageNumber"/>
          <w:rFonts w:ascii="Arial" w:hAnsi="Arial" w:cs="Arial"/>
          <w:kern w:val="3"/>
          <w:sz w:val="22"/>
          <w:szCs w:val="22"/>
        </w:rPr>
      </w:pPr>
      <w:r w:rsidRPr="003A0552">
        <w:rPr>
          <w:rStyle w:val="PageNumber"/>
          <w:rFonts w:ascii="Arial" w:hAnsi="Arial" w:cs="Arial"/>
          <w:kern w:val="3"/>
          <w:sz w:val="22"/>
          <w:szCs w:val="22"/>
        </w:rPr>
        <w:t>3.</w:t>
      </w:r>
      <w:r w:rsidRPr="003A0552">
        <w:rPr>
          <w:rStyle w:val="PageNumber"/>
          <w:rFonts w:ascii="Arial" w:hAnsi="Arial" w:cs="Arial"/>
          <w:kern w:val="3"/>
          <w:sz w:val="22"/>
          <w:szCs w:val="22"/>
        </w:rPr>
        <w:tab/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Sandsmark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DK, Zhang H,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Hegedus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B et al.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Nucleophosmin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mediates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mammalian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target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of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rapamycin-dependent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actin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cytoskeleton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dynamics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and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proliferation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in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neurofibromin-deficient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astrocytes, Cancer </w:t>
      </w:r>
      <w:proofErr w:type="spell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Res</w:t>
      </w:r>
      <w:proofErr w:type="spell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 xml:space="preserve"> 2007</w:t>
      </w:r>
      <w:proofErr w:type="gramStart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;67:4790</w:t>
      </w:r>
      <w:proofErr w:type="gramEnd"/>
      <w:r w:rsidRPr="003A0552">
        <w:rPr>
          <w:rStyle w:val="PageNumber"/>
          <w:rFonts w:ascii="Arial" w:hAnsi="Arial" w:cs="Arial"/>
          <w:kern w:val="3"/>
          <w:sz w:val="22"/>
          <w:szCs w:val="22"/>
        </w:rPr>
        <w:t>-4799.</w:t>
      </w:r>
    </w:p>
    <w:p w:rsidR="007F404D" w:rsidRDefault="007F404D">
      <w:bookmarkStart w:id="0" w:name="_GoBack"/>
      <w:bookmarkEnd w:id="0"/>
    </w:p>
    <w:sectPr w:rsidR="007F404D" w:rsidSect="007F40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3F"/>
    <w:rsid w:val="007F404D"/>
    <w:rsid w:val="00AF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564A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AF3B3F"/>
    <w:rPr>
      <w:lang w:val="fr-FR"/>
    </w:rPr>
  </w:style>
  <w:style w:type="paragraph" w:styleId="NoSpacing">
    <w:name w:val="No Spacing"/>
    <w:uiPriority w:val="1"/>
    <w:qFormat/>
    <w:rsid w:val="00AF3B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AF3B3F"/>
    <w:rPr>
      <w:lang w:val="fr-FR"/>
    </w:rPr>
  </w:style>
  <w:style w:type="paragraph" w:styleId="NoSpacing">
    <w:name w:val="No Spacing"/>
    <w:uiPriority w:val="1"/>
    <w:qFormat/>
    <w:rsid w:val="00AF3B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Macintosh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Hardin</dc:creator>
  <cp:keywords/>
  <dc:description/>
  <cp:lastModifiedBy>Jo Hardin</cp:lastModifiedBy>
  <cp:revision>1</cp:revision>
  <dcterms:created xsi:type="dcterms:W3CDTF">2017-12-12T06:22:00Z</dcterms:created>
  <dcterms:modified xsi:type="dcterms:W3CDTF">2017-12-12T06:25:00Z</dcterms:modified>
</cp:coreProperties>
</file>