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231F7" w14:textId="77777777" w:rsidR="00FB1C2A" w:rsidRDefault="00FB1C2A" w:rsidP="00FB1C2A">
      <w:bookmarkStart w:id="0" w:name="_GoBack"/>
      <w:bookmarkEnd w:id="0"/>
      <w:r>
        <w:rPr>
          <w:rFonts w:ascii="Arial" w:hAnsi="Arial" w:cs="Arial"/>
          <w:sz w:val="24"/>
          <w:szCs w:val="24"/>
        </w:rPr>
        <w:t>M</w:t>
      </w:r>
      <w:r w:rsidRPr="008D617C">
        <w:rPr>
          <w:rFonts w:ascii="Arial" w:hAnsi="Arial" w:cs="Arial"/>
          <w:sz w:val="24"/>
          <w:szCs w:val="24"/>
        </w:rPr>
        <w:t xml:space="preserve">etabolic </w:t>
      </w:r>
      <w:r>
        <w:rPr>
          <w:rFonts w:ascii="Arial" w:hAnsi="Arial" w:cs="Arial"/>
          <w:sz w:val="24"/>
          <w:szCs w:val="24"/>
        </w:rPr>
        <w:t>pathways enriched in differentially co-expressed modules in response to developmental temperature exposure in female.</w:t>
      </w:r>
    </w:p>
    <w:p w14:paraId="2593858F" w14:textId="77777777" w:rsidR="00FB1C2A" w:rsidRDefault="00FB1C2A" w:rsidP="00FB1C2A"/>
    <w:tbl>
      <w:tblPr>
        <w:tblStyle w:val="TableGrid"/>
        <w:tblpPr w:leftFromText="180" w:rightFromText="180" w:vertAnchor="page" w:horzAnchor="page" w:tblpX="1009" w:tblpY="2341"/>
        <w:tblW w:w="9690" w:type="dxa"/>
        <w:tblLook w:val="04A0" w:firstRow="1" w:lastRow="0" w:firstColumn="1" w:lastColumn="0" w:noHBand="0" w:noVBand="1"/>
      </w:tblPr>
      <w:tblGrid>
        <w:gridCol w:w="1382"/>
        <w:gridCol w:w="4629"/>
        <w:gridCol w:w="1567"/>
        <w:gridCol w:w="2112"/>
      </w:tblGrid>
      <w:tr w:rsidR="00FB1C2A" w:rsidRPr="002C15DB" w14:paraId="3F5CE20B" w14:textId="77777777" w:rsidTr="00086C78">
        <w:trPr>
          <w:trHeight w:val="758"/>
        </w:trPr>
        <w:tc>
          <w:tcPr>
            <w:tcW w:w="1382" w:type="dxa"/>
            <w:vAlign w:val="center"/>
          </w:tcPr>
          <w:p w14:paraId="2CC0ED85" w14:textId="77777777" w:rsidR="00FB1C2A" w:rsidRPr="002C15DB" w:rsidRDefault="00FB1C2A" w:rsidP="00086C78">
            <w:pPr>
              <w:jc w:val="center"/>
              <w:rPr>
                <w:rFonts w:ascii="Arial" w:hAnsi="Arial" w:cs="Arial"/>
                <w:b/>
                <w:sz w:val="24"/>
                <w:szCs w:val="24"/>
              </w:rPr>
            </w:pPr>
            <w:r w:rsidRPr="002C15DB">
              <w:rPr>
                <w:rFonts w:ascii="Arial" w:hAnsi="Arial" w:cs="Arial"/>
                <w:b/>
                <w:sz w:val="24"/>
                <w:szCs w:val="24"/>
              </w:rPr>
              <w:t>Module</w:t>
            </w:r>
          </w:p>
          <w:p w14:paraId="0064DC4A" w14:textId="77777777" w:rsidR="00FB1C2A" w:rsidRPr="002C15DB" w:rsidRDefault="00FB1C2A" w:rsidP="00086C78">
            <w:pPr>
              <w:jc w:val="center"/>
              <w:rPr>
                <w:rFonts w:ascii="Arial" w:hAnsi="Arial" w:cs="Arial"/>
                <w:b/>
                <w:sz w:val="24"/>
                <w:szCs w:val="24"/>
              </w:rPr>
            </w:pPr>
            <w:r w:rsidRPr="002C15DB">
              <w:rPr>
                <w:rFonts w:ascii="Arial" w:hAnsi="Arial" w:cs="Arial"/>
                <w:b/>
                <w:sz w:val="24"/>
                <w:szCs w:val="24"/>
              </w:rPr>
              <w:t xml:space="preserve"> (a)</w:t>
            </w:r>
          </w:p>
        </w:tc>
        <w:tc>
          <w:tcPr>
            <w:tcW w:w="4629" w:type="dxa"/>
            <w:vAlign w:val="center"/>
          </w:tcPr>
          <w:p w14:paraId="3863B59C" w14:textId="77777777" w:rsidR="00FB1C2A" w:rsidRPr="002C15DB" w:rsidRDefault="00FB1C2A" w:rsidP="00086C78">
            <w:pPr>
              <w:jc w:val="center"/>
              <w:rPr>
                <w:rFonts w:ascii="Arial" w:hAnsi="Arial" w:cs="Arial"/>
                <w:b/>
                <w:sz w:val="24"/>
                <w:szCs w:val="24"/>
              </w:rPr>
            </w:pPr>
            <w:r w:rsidRPr="002C15DB">
              <w:rPr>
                <w:rFonts w:ascii="Arial" w:hAnsi="Arial" w:cs="Arial"/>
                <w:b/>
                <w:sz w:val="24"/>
                <w:szCs w:val="24"/>
              </w:rPr>
              <w:t xml:space="preserve">Enriched pathways </w:t>
            </w:r>
          </w:p>
          <w:p w14:paraId="643AFA63" w14:textId="77777777" w:rsidR="00FB1C2A" w:rsidRPr="002C15DB" w:rsidRDefault="00FB1C2A" w:rsidP="00086C78">
            <w:pPr>
              <w:jc w:val="center"/>
              <w:rPr>
                <w:rFonts w:ascii="Arial" w:hAnsi="Arial" w:cs="Arial"/>
                <w:b/>
                <w:sz w:val="24"/>
                <w:szCs w:val="24"/>
              </w:rPr>
            </w:pPr>
            <w:r w:rsidRPr="002C15DB">
              <w:rPr>
                <w:rFonts w:ascii="Arial" w:hAnsi="Arial" w:cs="Arial"/>
                <w:b/>
                <w:sz w:val="24"/>
                <w:szCs w:val="24"/>
              </w:rPr>
              <w:t>(b)</w:t>
            </w:r>
          </w:p>
        </w:tc>
        <w:tc>
          <w:tcPr>
            <w:tcW w:w="1567" w:type="dxa"/>
            <w:vAlign w:val="center"/>
          </w:tcPr>
          <w:p w14:paraId="45A49296" w14:textId="77777777" w:rsidR="00FB1C2A" w:rsidRPr="002C15DB" w:rsidRDefault="00FB1C2A" w:rsidP="00086C78">
            <w:pPr>
              <w:jc w:val="center"/>
              <w:rPr>
                <w:rFonts w:ascii="Arial" w:hAnsi="Arial" w:cs="Arial"/>
                <w:b/>
                <w:sz w:val="24"/>
                <w:szCs w:val="24"/>
              </w:rPr>
            </w:pPr>
            <w:r w:rsidRPr="002C15DB">
              <w:rPr>
                <w:rFonts w:ascii="Arial" w:hAnsi="Arial" w:cs="Arial"/>
                <w:b/>
                <w:sz w:val="24"/>
                <w:szCs w:val="24"/>
              </w:rPr>
              <w:t>Overlap size (c)</w:t>
            </w:r>
          </w:p>
        </w:tc>
        <w:tc>
          <w:tcPr>
            <w:tcW w:w="2112" w:type="dxa"/>
            <w:vAlign w:val="center"/>
          </w:tcPr>
          <w:p w14:paraId="5598708A" w14:textId="77777777" w:rsidR="00FB1C2A" w:rsidRDefault="00FB1C2A" w:rsidP="00086C78">
            <w:pPr>
              <w:jc w:val="center"/>
              <w:rPr>
                <w:rFonts w:ascii="Arial" w:hAnsi="Arial" w:cs="Arial"/>
                <w:b/>
                <w:sz w:val="24"/>
                <w:szCs w:val="24"/>
              </w:rPr>
            </w:pPr>
            <w:r w:rsidRPr="002C15DB">
              <w:rPr>
                <w:rFonts w:ascii="Arial" w:hAnsi="Arial" w:cs="Arial"/>
                <w:b/>
                <w:sz w:val="24"/>
                <w:szCs w:val="24"/>
              </w:rPr>
              <w:t xml:space="preserve">Pathway </w:t>
            </w:r>
          </w:p>
          <w:p w14:paraId="54223520" w14:textId="77777777" w:rsidR="00FB1C2A" w:rsidRPr="002C15DB" w:rsidRDefault="00FB1C2A" w:rsidP="00086C78">
            <w:pPr>
              <w:jc w:val="center"/>
              <w:rPr>
                <w:rFonts w:ascii="Arial" w:hAnsi="Arial" w:cs="Arial"/>
                <w:b/>
                <w:sz w:val="24"/>
                <w:szCs w:val="24"/>
              </w:rPr>
            </w:pPr>
            <w:r w:rsidRPr="002C15DB">
              <w:rPr>
                <w:rFonts w:ascii="Arial" w:hAnsi="Arial" w:cs="Arial"/>
                <w:b/>
                <w:sz w:val="24"/>
                <w:szCs w:val="24"/>
              </w:rPr>
              <w:t>size (d)</w:t>
            </w:r>
          </w:p>
        </w:tc>
      </w:tr>
      <w:tr w:rsidR="00FB1C2A" w:rsidRPr="002C15DB" w14:paraId="6BED49B1" w14:textId="77777777" w:rsidTr="00086C78">
        <w:trPr>
          <w:trHeight w:val="758"/>
        </w:trPr>
        <w:tc>
          <w:tcPr>
            <w:tcW w:w="1382" w:type="dxa"/>
            <w:vAlign w:val="center"/>
          </w:tcPr>
          <w:p w14:paraId="69589C88" w14:textId="77777777" w:rsidR="00FB1C2A" w:rsidRPr="002C15DB" w:rsidRDefault="00FB1C2A" w:rsidP="00086C78">
            <w:pPr>
              <w:rPr>
                <w:rFonts w:ascii="Arial" w:hAnsi="Arial" w:cs="Arial"/>
                <w:sz w:val="24"/>
                <w:szCs w:val="24"/>
              </w:rPr>
            </w:pPr>
            <w:r w:rsidRPr="002C15DB">
              <w:rPr>
                <w:rFonts w:ascii="Arial" w:hAnsi="Arial" w:cs="Arial"/>
                <w:sz w:val="24"/>
                <w:szCs w:val="24"/>
              </w:rPr>
              <w:t>Blue</w:t>
            </w:r>
          </w:p>
        </w:tc>
        <w:tc>
          <w:tcPr>
            <w:tcW w:w="4629" w:type="dxa"/>
            <w:vAlign w:val="center"/>
          </w:tcPr>
          <w:p w14:paraId="0779F3C3" w14:textId="77777777" w:rsidR="00FB1C2A" w:rsidRPr="002C15DB" w:rsidRDefault="00FB1C2A" w:rsidP="00086C78">
            <w:pPr>
              <w:pStyle w:val="ListParagraph"/>
              <w:numPr>
                <w:ilvl w:val="0"/>
                <w:numId w:val="3"/>
              </w:numPr>
              <w:rPr>
                <w:rFonts w:ascii="Arial" w:hAnsi="Arial" w:cs="Arial"/>
                <w:sz w:val="24"/>
                <w:szCs w:val="24"/>
              </w:rPr>
            </w:pPr>
            <w:r w:rsidRPr="002C15DB">
              <w:rPr>
                <w:rFonts w:ascii="Arial" w:hAnsi="Arial" w:cs="Arial"/>
                <w:sz w:val="24"/>
                <w:szCs w:val="24"/>
              </w:rPr>
              <w:t>N-acetlyglucosamine degradation</w:t>
            </w:r>
          </w:p>
        </w:tc>
        <w:tc>
          <w:tcPr>
            <w:tcW w:w="1567" w:type="dxa"/>
            <w:vAlign w:val="center"/>
          </w:tcPr>
          <w:p w14:paraId="6C8937F5" w14:textId="77777777" w:rsidR="00FB1C2A" w:rsidRPr="002C15DB" w:rsidRDefault="00FB1C2A" w:rsidP="00086C78">
            <w:pPr>
              <w:rPr>
                <w:rFonts w:ascii="Arial" w:hAnsi="Arial" w:cs="Arial"/>
                <w:sz w:val="24"/>
                <w:szCs w:val="24"/>
              </w:rPr>
            </w:pPr>
            <w:r w:rsidRPr="002C15DB">
              <w:rPr>
                <w:rFonts w:ascii="Arial" w:hAnsi="Arial" w:cs="Arial"/>
                <w:sz w:val="24"/>
                <w:szCs w:val="24"/>
              </w:rPr>
              <w:t>2</w:t>
            </w:r>
          </w:p>
        </w:tc>
        <w:tc>
          <w:tcPr>
            <w:tcW w:w="2112" w:type="dxa"/>
            <w:vAlign w:val="center"/>
          </w:tcPr>
          <w:p w14:paraId="6734B414" w14:textId="77777777" w:rsidR="00FB1C2A" w:rsidRPr="002C15DB" w:rsidRDefault="00FB1C2A" w:rsidP="00086C78">
            <w:pPr>
              <w:rPr>
                <w:rFonts w:ascii="Arial" w:hAnsi="Arial" w:cs="Arial"/>
                <w:sz w:val="24"/>
                <w:szCs w:val="24"/>
              </w:rPr>
            </w:pPr>
            <w:r>
              <w:rPr>
                <w:rFonts w:ascii="Arial" w:hAnsi="Arial" w:cs="Arial"/>
                <w:sz w:val="24"/>
                <w:szCs w:val="24"/>
              </w:rPr>
              <w:t>3</w:t>
            </w:r>
          </w:p>
        </w:tc>
      </w:tr>
      <w:tr w:rsidR="00FB1C2A" w:rsidRPr="002C15DB" w14:paraId="53477DBA" w14:textId="77777777" w:rsidTr="00086C78">
        <w:trPr>
          <w:trHeight w:val="793"/>
        </w:trPr>
        <w:tc>
          <w:tcPr>
            <w:tcW w:w="1382" w:type="dxa"/>
            <w:vAlign w:val="center"/>
          </w:tcPr>
          <w:p w14:paraId="0930F0C2" w14:textId="77777777" w:rsidR="00FB1C2A" w:rsidRPr="002C15DB" w:rsidRDefault="00FB1C2A" w:rsidP="00086C78">
            <w:pPr>
              <w:rPr>
                <w:rFonts w:ascii="Arial" w:hAnsi="Arial" w:cs="Arial"/>
                <w:sz w:val="24"/>
                <w:szCs w:val="24"/>
              </w:rPr>
            </w:pPr>
            <w:r w:rsidRPr="002C15DB">
              <w:rPr>
                <w:rFonts w:ascii="Arial" w:hAnsi="Arial" w:cs="Arial"/>
                <w:sz w:val="24"/>
                <w:szCs w:val="24"/>
              </w:rPr>
              <w:t>Brown</w:t>
            </w:r>
          </w:p>
        </w:tc>
        <w:tc>
          <w:tcPr>
            <w:tcW w:w="4629" w:type="dxa"/>
            <w:vAlign w:val="center"/>
          </w:tcPr>
          <w:p w14:paraId="3590F3DB" w14:textId="77777777" w:rsidR="00FB1C2A" w:rsidRPr="002C15DB" w:rsidRDefault="00FB1C2A" w:rsidP="00086C78">
            <w:pPr>
              <w:pStyle w:val="ListParagraph"/>
              <w:numPr>
                <w:ilvl w:val="0"/>
                <w:numId w:val="1"/>
              </w:numPr>
              <w:rPr>
                <w:rFonts w:ascii="Arial" w:hAnsi="Arial" w:cs="Arial"/>
                <w:sz w:val="24"/>
                <w:szCs w:val="24"/>
              </w:rPr>
            </w:pPr>
            <w:r w:rsidRPr="002C15DB">
              <w:rPr>
                <w:rFonts w:ascii="Arial" w:hAnsi="Arial" w:cs="Arial"/>
                <w:sz w:val="24"/>
                <w:szCs w:val="24"/>
              </w:rPr>
              <w:t>Purine deoxyribonucleosides degradation</w:t>
            </w:r>
          </w:p>
          <w:p w14:paraId="14E7E6F0" w14:textId="77777777" w:rsidR="00FB1C2A" w:rsidRPr="002C15DB" w:rsidRDefault="00FB1C2A" w:rsidP="00086C78">
            <w:pPr>
              <w:pStyle w:val="ListParagraph"/>
              <w:numPr>
                <w:ilvl w:val="0"/>
                <w:numId w:val="1"/>
              </w:numPr>
              <w:rPr>
                <w:rFonts w:ascii="Arial" w:hAnsi="Arial" w:cs="Arial"/>
                <w:sz w:val="24"/>
                <w:szCs w:val="24"/>
              </w:rPr>
            </w:pPr>
            <w:r w:rsidRPr="002C15DB">
              <w:rPr>
                <w:rFonts w:ascii="Arial" w:hAnsi="Arial" w:cs="Arial"/>
                <w:sz w:val="24"/>
                <w:szCs w:val="24"/>
              </w:rPr>
              <w:t>Salvage pathways of adenine, hypoxanthine, and their nucleosides</w:t>
            </w:r>
          </w:p>
          <w:p w14:paraId="1F933884" w14:textId="77777777" w:rsidR="00FB1C2A" w:rsidRPr="002C15DB" w:rsidRDefault="00FB1C2A" w:rsidP="00086C78">
            <w:pPr>
              <w:pStyle w:val="ListParagraph"/>
              <w:numPr>
                <w:ilvl w:val="0"/>
                <w:numId w:val="1"/>
              </w:numPr>
              <w:rPr>
                <w:rFonts w:ascii="Arial" w:hAnsi="Arial" w:cs="Arial"/>
                <w:sz w:val="24"/>
                <w:szCs w:val="24"/>
              </w:rPr>
            </w:pPr>
            <w:r w:rsidRPr="002C15DB">
              <w:rPr>
                <w:rFonts w:ascii="Arial" w:hAnsi="Arial" w:cs="Arial"/>
                <w:sz w:val="24"/>
                <w:szCs w:val="24"/>
              </w:rPr>
              <w:t>Degradation of purine ribonucleosides</w:t>
            </w:r>
          </w:p>
          <w:p w14:paraId="6DEBE3B0" w14:textId="77777777" w:rsidR="00FB1C2A" w:rsidRPr="002C15DB" w:rsidRDefault="00FB1C2A" w:rsidP="00086C78">
            <w:pPr>
              <w:rPr>
                <w:rFonts w:ascii="Arial" w:hAnsi="Arial" w:cs="Arial"/>
                <w:sz w:val="24"/>
                <w:szCs w:val="24"/>
              </w:rPr>
            </w:pPr>
          </w:p>
        </w:tc>
        <w:tc>
          <w:tcPr>
            <w:tcW w:w="1567" w:type="dxa"/>
            <w:vAlign w:val="center"/>
          </w:tcPr>
          <w:p w14:paraId="0D8AB893" w14:textId="77777777" w:rsidR="00FB1C2A" w:rsidRDefault="00FB1C2A" w:rsidP="00086C78">
            <w:pPr>
              <w:rPr>
                <w:rFonts w:ascii="Arial" w:hAnsi="Arial" w:cs="Arial"/>
                <w:sz w:val="24"/>
                <w:szCs w:val="24"/>
              </w:rPr>
            </w:pPr>
            <w:r w:rsidRPr="002C15DB">
              <w:rPr>
                <w:rFonts w:ascii="Arial" w:hAnsi="Arial" w:cs="Arial"/>
                <w:sz w:val="24"/>
                <w:szCs w:val="24"/>
              </w:rPr>
              <w:t>4</w:t>
            </w:r>
          </w:p>
          <w:p w14:paraId="1DD78698" w14:textId="77777777" w:rsidR="00FB1C2A" w:rsidRPr="002C15DB" w:rsidRDefault="00FB1C2A" w:rsidP="00086C78">
            <w:pPr>
              <w:rPr>
                <w:rFonts w:ascii="Arial" w:hAnsi="Arial" w:cs="Arial"/>
                <w:sz w:val="24"/>
                <w:szCs w:val="24"/>
              </w:rPr>
            </w:pPr>
          </w:p>
          <w:p w14:paraId="7053289E" w14:textId="77777777" w:rsidR="00FB1C2A" w:rsidRPr="002C15DB" w:rsidRDefault="00FB1C2A" w:rsidP="00086C78">
            <w:pPr>
              <w:rPr>
                <w:rFonts w:ascii="Arial" w:hAnsi="Arial" w:cs="Arial"/>
                <w:sz w:val="24"/>
                <w:szCs w:val="24"/>
              </w:rPr>
            </w:pPr>
            <w:r w:rsidRPr="002C15DB">
              <w:rPr>
                <w:rFonts w:ascii="Arial" w:hAnsi="Arial" w:cs="Arial"/>
                <w:sz w:val="24"/>
                <w:szCs w:val="24"/>
              </w:rPr>
              <w:t>4</w:t>
            </w:r>
          </w:p>
          <w:p w14:paraId="414A2677" w14:textId="77777777" w:rsidR="00FB1C2A" w:rsidRPr="002C15DB" w:rsidRDefault="00FB1C2A" w:rsidP="00086C78">
            <w:pPr>
              <w:rPr>
                <w:rFonts w:ascii="Arial" w:hAnsi="Arial" w:cs="Arial"/>
                <w:sz w:val="24"/>
                <w:szCs w:val="24"/>
              </w:rPr>
            </w:pPr>
          </w:p>
          <w:p w14:paraId="54B280D1" w14:textId="77777777" w:rsidR="00FB1C2A" w:rsidRPr="002C15DB" w:rsidRDefault="00FB1C2A" w:rsidP="00086C78">
            <w:pPr>
              <w:rPr>
                <w:rFonts w:ascii="Arial" w:hAnsi="Arial" w:cs="Arial"/>
                <w:sz w:val="24"/>
                <w:szCs w:val="24"/>
              </w:rPr>
            </w:pPr>
            <w:r>
              <w:rPr>
                <w:rFonts w:ascii="Arial" w:hAnsi="Arial" w:cs="Arial"/>
                <w:sz w:val="24"/>
                <w:szCs w:val="24"/>
              </w:rPr>
              <w:t>3</w:t>
            </w:r>
          </w:p>
        </w:tc>
        <w:tc>
          <w:tcPr>
            <w:tcW w:w="2112" w:type="dxa"/>
            <w:vAlign w:val="center"/>
          </w:tcPr>
          <w:p w14:paraId="5F04A6BE" w14:textId="77777777" w:rsidR="00FB1C2A" w:rsidRDefault="00FB1C2A" w:rsidP="00086C78">
            <w:pPr>
              <w:rPr>
                <w:rFonts w:ascii="Arial" w:hAnsi="Arial" w:cs="Arial"/>
                <w:sz w:val="24"/>
                <w:szCs w:val="24"/>
              </w:rPr>
            </w:pPr>
            <w:r>
              <w:rPr>
                <w:rFonts w:ascii="Arial" w:hAnsi="Arial" w:cs="Arial"/>
                <w:sz w:val="24"/>
                <w:szCs w:val="24"/>
              </w:rPr>
              <w:t>8</w:t>
            </w:r>
          </w:p>
          <w:p w14:paraId="507DB88A" w14:textId="77777777" w:rsidR="00FB1C2A" w:rsidRDefault="00FB1C2A" w:rsidP="00086C78">
            <w:pPr>
              <w:rPr>
                <w:rFonts w:ascii="Arial" w:hAnsi="Arial" w:cs="Arial"/>
                <w:sz w:val="24"/>
                <w:szCs w:val="24"/>
              </w:rPr>
            </w:pPr>
          </w:p>
          <w:p w14:paraId="021D6718" w14:textId="77777777" w:rsidR="00FB1C2A" w:rsidRDefault="00FB1C2A" w:rsidP="00086C78">
            <w:pPr>
              <w:rPr>
                <w:rFonts w:ascii="Arial" w:hAnsi="Arial" w:cs="Arial"/>
                <w:sz w:val="24"/>
                <w:szCs w:val="24"/>
              </w:rPr>
            </w:pPr>
            <w:r>
              <w:rPr>
                <w:rFonts w:ascii="Arial" w:hAnsi="Arial" w:cs="Arial"/>
                <w:sz w:val="24"/>
                <w:szCs w:val="24"/>
              </w:rPr>
              <w:t>15</w:t>
            </w:r>
          </w:p>
          <w:p w14:paraId="3D08B8D8" w14:textId="77777777" w:rsidR="00FB1C2A" w:rsidRDefault="00FB1C2A" w:rsidP="00086C78">
            <w:pPr>
              <w:rPr>
                <w:rFonts w:ascii="Arial" w:hAnsi="Arial" w:cs="Arial"/>
                <w:sz w:val="24"/>
                <w:szCs w:val="24"/>
              </w:rPr>
            </w:pPr>
          </w:p>
          <w:p w14:paraId="12A807FF" w14:textId="77777777" w:rsidR="00FB1C2A" w:rsidRPr="002C15DB" w:rsidRDefault="00FB1C2A" w:rsidP="00086C78">
            <w:pPr>
              <w:rPr>
                <w:rFonts w:ascii="Arial" w:hAnsi="Arial" w:cs="Arial"/>
                <w:sz w:val="24"/>
                <w:szCs w:val="24"/>
              </w:rPr>
            </w:pPr>
            <w:r>
              <w:rPr>
                <w:rFonts w:ascii="Arial" w:hAnsi="Arial" w:cs="Arial"/>
                <w:sz w:val="24"/>
                <w:szCs w:val="24"/>
              </w:rPr>
              <w:t>10</w:t>
            </w:r>
          </w:p>
        </w:tc>
      </w:tr>
      <w:tr w:rsidR="00FB1C2A" w:rsidRPr="002C15DB" w14:paraId="4AA4C063" w14:textId="77777777" w:rsidTr="00086C78">
        <w:trPr>
          <w:trHeight w:val="758"/>
        </w:trPr>
        <w:tc>
          <w:tcPr>
            <w:tcW w:w="1382" w:type="dxa"/>
            <w:vAlign w:val="center"/>
          </w:tcPr>
          <w:p w14:paraId="78AF3C55" w14:textId="77777777" w:rsidR="00FB1C2A" w:rsidRPr="002C15DB" w:rsidRDefault="00FB1C2A" w:rsidP="00086C78">
            <w:pPr>
              <w:rPr>
                <w:rFonts w:ascii="Arial" w:hAnsi="Arial" w:cs="Arial"/>
                <w:sz w:val="24"/>
                <w:szCs w:val="24"/>
              </w:rPr>
            </w:pPr>
            <w:r w:rsidRPr="002C15DB">
              <w:rPr>
                <w:rFonts w:ascii="Arial" w:hAnsi="Arial" w:cs="Arial"/>
                <w:sz w:val="24"/>
                <w:szCs w:val="24"/>
              </w:rPr>
              <w:t>Turquoise</w:t>
            </w:r>
          </w:p>
        </w:tc>
        <w:tc>
          <w:tcPr>
            <w:tcW w:w="4629" w:type="dxa"/>
            <w:vAlign w:val="center"/>
          </w:tcPr>
          <w:p w14:paraId="75AA7B11" w14:textId="77777777" w:rsidR="00FB1C2A" w:rsidRPr="002C15DB" w:rsidRDefault="00FB1C2A" w:rsidP="00086C78">
            <w:pPr>
              <w:pStyle w:val="ListParagraph"/>
              <w:numPr>
                <w:ilvl w:val="0"/>
                <w:numId w:val="2"/>
              </w:numPr>
              <w:rPr>
                <w:rFonts w:ascii="Arial" w:hAnsi="Arial" w:cs="Arial"/>
                <w:sz w:val="24"/>
                <w:szCs w:val="24"/>
              </w:rPr>
            </w:pPr>
            <w:r w:rsidRPr="002C15DB">
              <w:rPr>
                <w:rFonts w:ascii="Arial" w:hAnsi="Arial" w:cs="Arial"/>
                <w:sz w:val="24"/>
                <w:szCs w:val="24"/>
              </w:rPr>
              <w:t>Salvage pathways of adenine, hypoxanthine, and their nucleosides</w:t>
            </w:r>
          </w:p>
          <w:p w14:paraId="2840347D" w14:textId="77777777" w:rsidR="00FB1C2A" w:rsidRPr="002C15DB" w:rsidRDefault="00FB1C2A" w:rsidP="00086C78">
            <w:pPr>
              <w:pStyle w:val="ListParagraph"/>
              <w:numPr>
                <w:ilvl w:val="0"/>
                <w:numId w:val="2"/>
              </w:numPr>
              <w:rPr>
                <w:rFonts w:ascii="Arial" w:hAnsi="Arial" w:cs="Arial"/>
                <w:sz w:val="24"/>
                <w:szCs w:val="24"/>
              </w:rPr>
            </w:pPr>
            <w:r w:rsidRPr="002C15DB">
              <w:rPr>
                <w:rFonts w:ascii="Arial" w:hAnsi="Arial" w:cs="Arial"/>
                <w:sz w:val="24"/>
                <w:szCs w:val="24"/>
              </w:rPr>
              <w:t>Purine deoxyribonucleosides degradation</w:t>
            </w:r>
          </w:p>
          <w:p w14:paraId="422A55E2" w14:textId="77777777" w:rsidR="00FB1C2A" w:rsidRPr="002C15DB" w:rsidRDefault="00FB1C2A" w:rsidP="00086C78">
            <w:pPr>
              <w:pStyle w:val="ListParagraph"/>
              <w:numPr>
                <w:ilvl w:val="0"/>
                <w:numId w:val="2"/>
              </w:numPr>
              <w:rPr>
                <w:rFonts w:ascii="Arial" w:hAnsi="Arial" w:cs="Arial"/>
                <w:sz w:val="24"/>
                <w:szCs w:val="24"/>
              </w:rPr>
            </w:pPr>
            <w:r w:rsidRPr="002C15DB">
              <w:rPr>
                <w:rFonts w:ascii="Arial" w:hAnsi="Arial" w:cs="Arial"/>
                <w:sz w:val="24"/>
                <w:szCs w:val="24"/>
              </w:rPr>
              <w:t>NAD biosynthesis</w:t>
            </w:r>
          </w:p>
        </w:tc>
        <w:tc>
          <w:tcPr>
            <w:tcW w:w="1567" w:type="dxa"/>
            <w:vAlign w:val="center"/>
          </w:tcPr>
          <w:p w14:paraId="6D2D9AF6" w14:textId="77777777" w:rsidR="00FB1C2A" w:rsidRPr="002C15DB" w:rsidRDefault="00FB1C2A" w:rsidP="00086C78">
            <w:pPr>
              <w:rPr>
                <w:rFonts w:ascii="Arial" w:hAnsi="Arial" w:cs="Arial"/>
                <w:sz w:val="24"/>
                <w:szCs w:val="24"/>
              </w:rPr>
            </w:pPr>
            <w:r>
              <w:rPr>
                <w:rFonts w:ascii="Arial" w:hAnsi="Arial" w:cs="Arial"/>
                <w:sz w:val="24"/>
                <w:szCs w:val="24"/>
              </w:rPr>
              <w:t>4</w:t>
            </w:r>
          </w:p>
          <w:p w14:paraId="099EC3BC" w14:textId="77777777" w:rsidR="00FB1C2A" w:rsidRPr="002C15DB" w:rsidRDefault="00FB1C2A" w:rsidP="00086C78">
            <w:pPr>
              <w:rPr>
                <w:rFonts w:ascii="Arial" w:hAnsi="Arial" w:cs="Arial"/>
                <w:sz w:val="24"/>
                <w:szCs w:val="24"/>
              </w:rPr>
            </w:pPr>
          </w:p>
          <w:p w14:paraId="2AC7BA39" w14:textId="77777777" w:rsidR="00FB1C2A" w:rsidRPr="002C15DB" w:rsidRDefault="00FB1C2A" w:rsidP="00086C78">
            <w:pPr>
              <w:rPr>
                <w:rFonts w:ascii="Arial" w:hAnsi="Arial" w:cs="Arial"/>
                <w:sz w:val="24"/>
                <w:szCs w:val="24"/>
              </w:rPr>
            </w:pPr>
            <w:r>
              <w:rPr>
                <w:rFonts w:ascii="Arial" w:hAnsi="Arial" w:cs="Arial"/>
                <w:sz w:val="24"/>
                <w:szCs w:val="24"/>
              </w:rPr>
              <w:t>3</w:t>
            </w:r>
          </w:p>
          <w:p w14:paraId="4B3FD5A7" w14:textId="77777777" w:rsidR="00FB1C2A" w:rsidRPr="002C15DB" w:rsidRDefault="00FB1C2A" w:rsidP="00086C78">
            <w:pPr>
              <w:rPr>
                <w:rFonts w:ascii="Arial" w:hAnsi="Arial" w:cs="Arial"/>
                <w:sz w:val="24"/>
                <w:szCs w:val="24"/>
              </w:rPr>
            </w:pPr>
          </w:p>
          <w:p w14:paraId="6AF4434E" w14:textId="77777777" w:rsidR="00FB1C2A" w:rsidRPr="002C15DB" w:rsidRDefault="00FB1C2A" w:rsidP="00086C78">
            <w:pPr>
              <w:rPr>
                <w:rFonts w:ascii="Arial" w:hAnsi="Arial" w:cs="Arial"/>
                <w:sz w:val="24"/>
                <w:szCs w:val="24"/>
              </w:rPr>
            </w:pPr>
            <w:r>
              <w:rPr>
                <w:rFonts w:ascii="Arial" w:hAnsi="Arial" w:cs="Arial"/>
                <w:sz w:val="24"/>
                <w:szCs w:val="24"/>
              </w:rPr>
              <w:t>3</w:t>
            </w:r>
          </w:p>
        </w:tc>
        <w:tc>
          <w:tcPr>
            <w:tcW w:w="2112" w:type="dxa"/>
            <w:vAlign w:val="center"/>
          </w:tcPr>
          <w:p w14:paraId="37C6E6CC" w14:textId="77777777" w:rsidR="00FB1C2A" w:rsidRDefault="00FB1C2A" w:rsidP="00086C78">
            <w:pPr>
              <w:rPr>
                <w:rFonts w:ascii="Arial" w:hAnsi="Arial" w:cs="Arial"/>
                <w:sz w:val="24"/>
                <w:szCs w:val="24"/>
              </w:rPr>
            </w:pPr>
            <w:r>
              <w:rPr>
                <w:rFonts w:ascii="Arial" w:hAnsi="Arial" w:cs="Arial"/>
                <w:sz w:val="24"/>
                <w:szCs w:val="24"/>
              </w:rPr>
              <w:t>15</w:t>
            </w:r>
          </w:p>
          <w:p w14:paraId="6490E378" w14:textId="77777777" w:rsidR="00FB1C2A" w:rsidRDefault="00FB1C2A" w:rsidP="00086C78">
            <w:pPr>
              <w:rPr>
                <w:rFonts w:ascii="Arial" w:hAnsi="Arial" w:cs="Arial"/>
                <w:sz w:val="24"/>
                <w:szCs w:val="24"/>
              </w:rPr>
            </w:pPr>
          </w:p>
          <w:p w14:paraId="257357C0" w14:textId="77777777" w:rsidR="00FB1C2A" w:rsidRDefault="00FB1C2A" w:rsidP="00086C78">
            <w:pPr>
              <w:rPr>
                <w:rFonts w:ascii="Arial" w:hAnsi="Arial" w:cs="Arial"/>
                <w:sz w:val="24"/>
                <w:szCs w:val="24"/>
              </w:rPr>
            </w:pPr>
            <w:r>
              <w:rPr>
                <w:rFonts w:ascii="Arial" w:hAnsi="Arial" w:cs="Arial"/>
                <w:sz w:val="24"/>
                <w:szCs w:val="24"/>
              </w:rPr>
              <w:t>8</w:t>
            </w:r>
          </w:p>
          <w:p w14:paraId="54FA1C78" w14:textId="77777777" w:rsidR="00FB1C2A" w:rsidRDefault="00FB1C2A" w:rsidP="00086C78">
            <w:pPr>
              <w:rPr>
                <w:rFonts w:ascii="Arial" w:hAnsi="Arial" w:cs="Arial"/>
                <w:sz w:val="24"/>
                <w:szCs w:val="24"/>
              </w:rPr>
            </w:pPr>
          </w:p>
          <w:p w14:paraId="1A22F885" w14:textId="77777777" w:rsidR="00FB1C2A" w:rsidRPr="002C15DB" w:rsidRDefault="00FB1C2A" w:rsidP="00086C78">
            <w:pPr>
              <w:rPr>
                <w:rFonts w:ascii="Arial" w:hAnsi="Arial" w:cs="Arial"/>
                <w:sz w:val="24"/>
                <w:szCs w:val="24"/>
              </w:rPr>
            </w:pPr>
            <w:r>
              <w:rPr>
                <w:rFonts w:ascii="Arial" w:hAnsi="Arial" w:cs="Arial"/>
                <w:sz w:val="24"/>
                <w:szCs w:val="24"/>
              </w:rPr>
              <w:t>8</w:t>
            </w:r>
          </w:p>
        </w:tc>
      </w:tr>
    </w:tbl>
    <w:p w14:paraId="0BFEB2A4" w14:textId="2627434B" w:rsidR="007F3577" w:rsidRDefault="00DF7153" w:rsidP="00FB1C2A">
      <w:r>
        <w:rPr>
          <w:rFonts w:ascii="Arial" w:hAnsi="Arial" w:cs="Arial"/>
          <w:b/>
          <w:sz w:val="24"/>
          <w:szCs w:val="24"/>
        </w:rPr>
        <w:t>Additional file 6</w:t>
      </w:r>
      <w:r w:rsidR="00FB1C2A">
        <w:rPr>
          <w:rFonts w:ascii="Arial" w:hAnsi="Arial" w:cs="Arial"/>
          <w:sz w:val="24"/>
          <w:szCs w:val="24"/>
        </w:rPr>
        <w:t xml:space="preserve">. Metabolic pathways (b) enriched in differentially co-expressed modules (a) in female Drosophila. These modules were identified by the </w:t>
      </w:r>
      <w:r w:rsidR="00FB1C2A" w:rsidRPr="006E202E">
        <w:rPr>
          <w:rFonts w:ascii="Courier" w:hAnsi="Courier" w:cs="Arial"/>
          <w:sz w:val="24"/>
          <w:szCs w:val="24"/>
        </w:rPr>
        <w:t>DiffCoEx</w:t>
      </w:r>
      <w:r w:rsidR="00FB1C2A">
        <w:rPr>
          <w:rFonts w:ascii="Arial" w:hAnsi="Arial" w:cs="Arial"/>
          <w:sz w:val="24"/>
          <w:szCs w:val="24"/>
        </w:rPr>
        <w:t xml:space="preserve"> algorithm (</w:t>
      </w:r>
      <w:r w:rsidR="006E202E">
        <w:rPr>
          <w:rFonts w:ascii="Arial" w:hAnsi="Arial" w:cs="Arial"/>
          <w:sz w:val="24"/>
          <w:szCs w:val="24"/>
        </w:rPr>
        <w:t>22</w:t>
      </w:r>
      <w:r w:rsidR="00FB1C2A">
        <w:rPr>
          <w:rFonts w:ascii="Arial" w:hAnsi="Arial" w:cs="Arial"/>
          <w:sz w:val="24"/>
          <w:szCs w:val="24"/>
        </w:rPr>
        <w:t>), as significantly altered in response to developmental temperature exposures. The number of metabolites in the input list that overlapped (b) with the reference list of all metabolites after quality control (c), along with the id</w:t>
      </w:r>
      <w:r w:rsidR="006E202E">
        <w:rPr>
          <w:rFonts w:ascii="Arial" w:hAnsi="Arial" w:cs="Arial"/>
          <w:sz w:val="24"/>
          <w:szCs w:val="24"/>
        </w:rPr>
        <w:t>entity</w:t>
      </w:r>
      <w:r w:rsidR="00FB1C2A">
        <w:rPr>
          <w:rFonts w:ascii="Arial" w:hAnsi="Arial" w:cs="Arial"/>
          <w:sz w:val="24"/>
          <w:szCs w:val="24"/>
        </w:rPr>
        <w:t xml:space="preserve"> of these metabolites (d) is shown. Only pathways with an adjusted p-value &lt; 0.01 were selected as enriched. We used </w:t>
      </w:r>
      <w:r w:rsidR="00062826">
        <w:rPr>
          <w:rFonts w:ascii="Arial" w:hAnsi="Arial" w:cs="Arial"/>
          <w:i/>
          <w:sz w:val="24"/>
          <w:szCs w:val="24"/>
        </w:rPr>
        <w:t>M</w:t>
      </w:r>
      <w:r w:rsidR="00FB1C2A" w:rsidRPr="0071220D">
        <w:rPr>
          <w:rFonts w:ascii="Arial" w:hAnsi="Arial" w:cs="Arial"/>
          <w:i/>
          <w:sz w:val="24"/>
          <w:szCs w:val="24"/>
        </w:rPr>
        <w:t>ummichog</w:t>
      </w:r>
      <w:r w:rsidR="00FB1C2A">
        <w:rPr>
          <w:rFonts w:ascii="Arial" w:hAnsi="Arial" w:cs="Arial"/>
          <w:sz w:val="24"/>
          <w:szCs w:val="24"/>
        </w:rPr>
        <w:t xml:space="preserve"> (</w:t>
      </w:r>
      <w:r w:rsidR="006E202E">
        <w:rPr>
          <w:rFonts w:ascii="Arial" w:hAnsi="Arial" w:cs="Arial"/>
          <w:sz w:val="24"/>
          <w:szCs w:val="24"/>
        </w:rPr>
        <w:t>32</w:t>
      </w:r>
      <w:r w:rsidR="00FB1C2A">
        <w:rPr>
          <w:rFonts w:ascii="Arial" w:hAnsi="Arial" w:cs="Arial"/>
          <w:sz w:val="24"/>
          <w:szCs w:val="24"/>
        </w:rPr>
        <w:t xml:space="preserve">) to populate this table. </w:t>
      </w:r>
      <w:r w:rsidR="00FB1C2A" w:rsidRPr="0071220D">
        <w:rPr>
          <w:rFonts w:ascii="Arial" w:hAnsi="Arial" w:cs="Arial"/>
          <w:i/>
          <w:sz w:val="24"/>
          <w:szCs w:val="24"/>
        </w:rPr>
        <w:t>Mummichog</w:t>
      </w:r>
      <w:r w:rsidR="00FB1C2A">
        <w:rPr>
          <w:rFonts w:ascii="Arial" w:hAnsi="Arial" w:cs="Arial"/>
          <w:sz w:val="24"/>
          <w:szCs w:val="24"/>
        </w:rPr>
        <w:t xml:space="preserve"> </w:t>
      </w:r>
      <w:r w:rsidR="00062826">
        <w:rPr>
          <w:rFonts w:ascii="Arial" w:hAnsi="Arial" w:cs="Arial"/>
          <w:sz w:val="24"/>
          <w:szCs w:val="24"/>
        </w:rPr>
        <w:t xml:space="preserve">flag </w:t>
      </w:r>
      <w:r w:rsidR="00FB1C2A">
        <w:rPr>
          <w:rFonts w:ascii="Arial" w:hAnsi="Arial" w:cs="Arial"/>
          <w:sz w:val="24"/>
          <w:szCs w:val="24"/>
        </w:rPr>
        <w:t>parameters that were changed from default were, -n set to “fly”, and -u set to “FTMS”.</w:t>
      </w:r>
    </w:p>
    <w:sectPr w:rsidR="007F35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C695B"/>
    <w:multiLevelType w:val="hybridMultilevel"/>
    <w:tmpl w:val="29FCFE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464BCB"/>
    <w:multiLevelType w:val="hybridMultilevel"/>
    <w:tmpl w:val="D9C05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EC68CC"/>
    <w:multiLevelType w:val="hybridMultilevel"/>
    <w:tmpl w:val="ABEAB7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C2A"/>
    <w:rsid w:val="00062826"/>
    <w:rsid w:val="003D375D"/>
    <w:rsid w:val="006E202E"/>
    <w:rsid w:val="00703447"/>
    <w:rsid w:val="007F3577"/>
    <w:rsid w:val="008E6185"/>
    <w:rsid w:val="00DF7153"/>
    <w:rsid w:val="00FB1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BA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C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1C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B1C2A"/>
    <w:pPr>
      <w:ind w:left="720"/>
      <w:contextualSpacing/>
    </w:pPr>
  </w:style>
  <w:style w:type="paragraph" w:styleId="BalloonText">
    <w:name w:val="Balloon Text"/>
    <w:basedOn w:val="Normal"/>
    <w:link w:val="BalloonTextChar"/>
    <w:uiPriority w:val="99"/>
    <w:semiHidden/>
    <w:unhideWhenUsed/>
    <w:rsid w:val="0006282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2826"/>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C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1C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B1C2A"/>
    <w:pPr>
      <w:ind w:left="720"/>
      <w:contextualSpacing/>
    </w:pPr>
  </w:style>
  <w:style w:type="paragraph" w:styleId="BalloonText">
    <w:name w:val="Balloon Text"/>
    <w:basedOn w:val="Normal"/>
    <w:link w:val="BalloonTextChar"/>
    <w:uiPriority w:val="99"/>
    <w:semiHidden/>
    <w:unhideWhenUsed/>
    <w:rsid w:val="0006282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282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Ramkumar Hariharan</dc:creator>
  <cp:lastModifiedBy>Rosengarten, Angie</cp:lastModifiedBy>
  <cp:revision>2</cp:revision>
  <dcterms:created xsi:type="dcterms:W3CDTF">2015-02-10T01:14:00Z</dcterms:created>
  <dcterms:modified xsi:type="dcterms:W3CDTF">2015-02-10T01:14:00Z</dcterms:modified>
</cp:coreProperties>
</file>