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CE" w:rsidRPr="002D6F6F" w:rsidRDefault="00DA14CE" w:rsidP="00DA14CE">
      <w:pPr>
        <w:spacing w:before="100" w:after="100" w:line="276" w:lineRule="auto"/>
        <w:rPr>
          <w:rFonts w:ascii="Arial" w:hAnsi="Arial" w:cs="Arial"/>
          <w:b/>
          <w:sz w:val="22"/>
          <w:szCs w:val="22"/>
        </w:rPr>
      </w:pPr>
      <w:r w:rsidRPr="002D6F6F">
        <w:rPr>
          <w:rFonts w:ascii="Arial" w:hAnsi="Arial" w:cs="Arial"/>
          <w:b/>
          <w:sz w:val="22"/>
          <w:szCs w:val="22"/>
        </w:rPr>
        <w:t xml:space="preserve">Supplemental table 1: Baseline characteristics according to </w:t>
      </w:r>
      <w:proofErr w:type="spellStart"/>
      <w:r w:rsidRPr="002D6F6F">
        <w:rPr>
          <w:rFonts w:ascii="Arial" w:hAnsi="Arial" w:cs="Arial"/>
          <w:b/>
          <w:sz w:val="22"/>
          <w:szCs w:val="22"/>
        </w:rPr>
        <w:t>eGFR</w:t>
      </w:r>
      <w:proofErr w:type="spellEnd"/>
      <w:r w:rsidRPr="002D6F6F">
        <w:rPr>
          <w:rFonts w:ascii="Arial" w:hAnsi="Arial" w:cs="Arial"/>
          <w:b/>
          <w:sz w:val="22"/>
          <w:szCs w:val="22"/>
        </w:rPr>
        <w:t xml:space="preserve"> category at time of cohort entry (T</w:t>
      </w:r>
      <w:r w:rsidRPr="002D6F6F">
        <w:rPr>
          <w:rFonts w:ascii="Arial" w:hAnsi="Arial" w:cs="Arial"/>
          <w:b/>
          <w:sz w:val="22"/>
          <w:szCs w:val="22"/>
          <w:vertAlign w:val="subscript"/>
        </w:rPr>
        <w:t>0</w:t>
      </w:r>
      <w:r w:rsidRPr="002D6F6F">
        <w:rPr>
          <w:rFonts w:ascii="Arial" w:hAnsi="Arial" w:cs="Arial"/>
          <w:b/>
          <w:sz w:val="22"/>
          <w:szCs w:val="22"/>
        </w:rPr>
        <w:t>).</w:t>
      </w:r>
    </w:p>
    <w:tbl>
      <w:tblPr>
        <w:tblW w:w="1062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350"/>
        <w:gridCol w:w="180"/>
        <w:gridCol w:w="1080"/>
        <w:gridCol w:w="1530"/>
        <w:gridCol w:w="1620"/>
        <w:gridCol w:w="1620"/>
        <w:gridCol w:w="1620"/>
        <w:gridCol w:w="1620"/>
      </w:tblGrid>
      <w:tr w:rsidR="00DA14CE" w:rsidRPr="002D6F6F" w:rsidTr="001B5839">
        <w:tc>
          <w:tcPr>
            <w:tcW w:w="26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b/>
                <w:sz w:val="22"/>
                <w:szCs w:val="22"/>
              </w:rPr>
              <w:t>eGFR≥60</w:t>
            </w:r>
            <w:r w:rsidRPr="002D6F6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D6F6F">
              <w:rPr>
                <w:rFonts w:ascii="Arial" w:hAnsi="Arial" w:cs="Arial"/>
                <w:b/>
                <w:sz w:val="22"/>
                <w:szCs w:val="22"/>
              </w:rPr>
              <w:t>ml/min/1.73 m</w:t>
            </w:r>
            <w:r w:rsidRPr="002D6F6F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n=1,051,439 (78.62%)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b/>
                <w:sz w:val="22"/>
                <w:szCs w:val="22"/>
              </w:rPr>
              <w:t>60&gt;eGFR≥45 ml/min/1.73 m</w:t>
            </w:r>
            <w:r w:rsidRPr="002D6F6F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n=199,071 (14.88%)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b/>
                <w:sz w:val="22"/>
                <w:szCs w:val="22"/>
              </w:rPr>
              <w:t>45&gt;eGFR≥30 ml/min/1.73 m</w:t>
            </w:r>
            <w:r w:rsidRPr="002D6F6F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n=71,023 (5.31%)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b/>
                <w:sz w:val="22"/>
                <w:szCs w:val="22"/>
              </w:rPr>
              <w:t>30&gt;eGFR≥15 ml/min/1.73 m</w:t>
            </w:r>
            <w:r w:rsidRPr="002D6F6F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n=14,752 (1.10%)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D6F6F">
              <w:rPr>
                <w:rFonts w:ascii="Arial" w:hAnsi="Arial" w:cs="Arial"/>
                <w:b/>
                <w:sz w:val="22"/>
                <w:szCs w:val="22"/>
              </w:rPr>
              <w:t>eGFR</w:t>
            </w:r>
            <w:proofErr w:type="spellEnd"/>
            <w:r w:rsidRPr="002D6F6F">
              <w:rPr>
                <w:rFonts w:ascii="Arial" w:hAnsi="Arial" w:cs="Arial"/>
                <w:b/>
                <w:sz w:val="22"/>
                <w:szCs w:val="22"/>
              </w:rPr>
              <w:t>&lt;15 ml/min/1.73 m</w:t>
            </w:r>
            <w:r w:rsidRPr="002D6F6F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  <w:r w:rsidRPr="002D6F6F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</w:p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n=1,167 (0.09%)</w:t>
            </w:r>
          </w:p>
        </w:tc>
      </w:tr>
      <w:tr w:rsidR="00DA14CE" w:rsidRPr="002D6F6F" w:rsidTr="001B5839">
        <w:tc>
          <w:tcPr>
            <w:tcW w:w="26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14CE" w:rsidRPr="002D6F6F" w:rsidRDefault="00DA14CE" w:rsidP="001B5839">
            <w:pPr>
              <w:tabs>
                <w:tab w:val="left" w:pos="2822"/>
              </w:tabs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Age (SD)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62.90 (12.72)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74.93 (10.26)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79.21 (9.01)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79.12 (10.16)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73.63 (13.01)</w:t>
            </w:r>
          </w:p>
        </w:tc>
      </w:tr>
      <w:tr w:rsidR="00DA14CE" w:rsidRPr="002D6F6F" w:rsidTr="001B5839">
        <w:tc>
          <w:tcPr>
            <w:tcW w:w="1530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 xml:space="preserve">Race </w:t>
            </w:r>
            <w:r w:rsidRPr="002D6F6F">
              <w:rPr>
                <w:rFonts w:ascii="Arial" w:hAnsi="Arial" w:cs="Arial"/>
                <w:sz w:val="22"/>
                <w:szCs w:val="22"/>
                <w:lang w:eastAsia="zh-CN"/>
              </w:rPr>
              <w:t>(%)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White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847,924 (80.64)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174,615 (87.71)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63,121 (88.87)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12,580 (85.28)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839 (71.89)</w:t>
            </w:r>
          </w:p>
        </w:tc>
      </w:tr>
      <w:tr w:rsidR="00DA14CE" w:rsidRPr="002D6F6F" w:rsidTr="001B5839">
        <w:tc>
          <w:tcPr>
            <w:tcW w:w="1530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Black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15,575 (14.80)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17,958 (9.02)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5,713 (8.04)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1,613 (10.93)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274 (23.48)</w:t>
            </w:r>
          </w:p>
        </w:tc>
      </w:tr>
      <w:tr w:rsidR="00DA14CE" w:rsidRPr="002D6F6F" w:rsidTr="001B5839">
        <w:tc>
          <w:tcPr>
            <w:tcW w:w="1530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Other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47,940 (4.56)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6,498 (3.26)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2,189 (3.08)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559 (3.79)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54 (4.63)</w:t>
            </w:r>
          </w:p>
        </w:tc>
      </w:tr>
      <w:tr w:rsidR="00DA14CE" w:rsidRPr="002D6F6F" w:rsidTr="001B5839">
        <w:tc>
          <w:tcPr>
            <w:tcW w:w="1530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 xml:space="preserve">Gender </w:t>
            </w:r>
            <w:r w:rsidRPr="002D6F6F">
              <w:rPr>
                <w:rFonts w:ascii="Arial" w:hAnsi="Arial" w:cs="Arial"/>
                <w:sz w:val="22"/>
                <w:szCs w:val="22"/>
                <w:lang w:eastAsia="zh-CN"/>
              </w:rPr>
              <w:t>(%)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Male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992,506 (94.40)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188,380 (94.63)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68,119 (95.91)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14,195 (96.22)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1,125 (96.40)</w:t>
            </w:r>
          </w:p>
        </w:tc>
      </w:tr>
      <w:tr w:rsidR="00DA14CE" w:rsidRPr="002D6F6F" w:rsidTr="001B5839">
        <w:tc>
          <w:tcPr>
            <w:tcW w:w="1530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Female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58,933 (5.60)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10,691 (5.37)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2,904 (4.09)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557 (3.78)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42 (3.60)</w:t>
            </w:r>
          </w:p>
        </w:tc>
      </w:tr>
      <w:tr w:rsidR="00DA14CE" w:rsidRPr="002D6F6F" w:rsidTr="001B5839">
        <w:tc>
          <w:tcPr>
            <w:tcW w:w="26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T</w:t>
            </w:r>
            <w:r w:rsidRPr="002D6F6F">
              <w:rPr>
                <w:rFonts w:ascii="Arial" w:hAnsi="Arial" w:cs="Arial"/>
                <w:sz w:val="22"/>
                <w:szCs w:val="22"/>
                <w:vertAlign w:val="subscript"/>
              </w:rPr>
              <w:t>0</w:t>
            </w:r>
            <w:r w:rsidRPr="002D6F6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D6F6F">
              <w:rPr>
                <w:rFonts w:ascii="Arial" w:hAnsi="Arial" w:cs="Arial"/>
                <w:sz w:val="22"/>
                <w:szCs w:val="22"/>
              </w:rPr>
              <w:t>eGFR</w:t>
            </w:r>
            <w:proofErr w:type="spellEnd"/>
            <w:r w:rsidRPr="002D6F6F">
              <w:rPr>
                <w:rFonts w:ascii="Arial" w:hAnsi="Arial" w:cs="Arial"/>
                <w:sz w:val="22"/>
                <w:szCs w:val="22"/>
              </w:rPr>
              <w:t xml:space="preserve"> in mL/min/1.73m</w:t>
            </w:r>
            <w:r w:rsidRPr="002D6F6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2D6F6F">
              <w:rPr>
                <w:rFonts w:ascii="Arial" w:hAnsi="Arial" w:cs="Arial"/>
                <w:sz w:val="22"/>
                <w:szCs w:val="22"/>
              </w:rPr>
              <w:t xml:space="preserve"> (SD)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83.11 (14.62)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53.02 (4.26)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38.54 (4.09)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24.23 (3.91)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11.17 (2.63)</w:t>
            </w:r>
          </w:p>
        </w:tc>
      </w:tr>
      <w:tr w:rsidR="00DA14CE" w:rsidRPr="002D6F6F" w:rsidTr="001B5839">
        <w:tc>
          <w:tcPr>
            <w:tcW w:w="26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T</w:t>
            </w:r>
            <w:r w:rsidRPr="002D6F6F">
              <w:rPr>
                <w:rFonts w:ascii="Arial" w:hAnsi="Arial" w:cs="Arial"/>
                <w:sz w:val="22"/>
                <w:szCs w:val="22"/>
                <w:vertAlign w:val="subscript"/>
              </w:rPr>
              <w:t>0</w:t>
            </w:r>
            <w:r w:rsidRPr="002D6F6F">
              <w:rPr>
                <w:rFonts w:ascii="Arial" w:hAnsi="Arial" w:cs="Arial"/>
                <w:sz w:val="22"/>
                <w:szCs w:val="22"/>
              </w:rPr>
              <w:t xml:space="preserve"> BUN in mg/dL (SD)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15.00 (4.95)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20.49 (6.07)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27.26 (8.52)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39.74 (14.51)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63.54 (25.69)</w:t>
            </w:r>
          </w:p>
        </w:tc>
      </w:tr>
      <w:tr w:rsidR="00DA14CE" w:rsidRPr="002D6F6F" w:rsidTr="001B5839">
        <w:tc>
          <w:tcPr>
            <w:tcW w:w="1530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T</w:t>
            </w:r>
            <w:r w:rsidRPr="002D6F6F">
              <w:rPr>
                <w:rFonts w:ascii="Arial" w:hAnsi="Arial" w:cs="Arial"/>
                <w:sz w:val="22"/>
                <w:szCs w:val="22"/>
                <w:vertAlign w:val="subscript"/>
              </w:rPr>
              <w:t>0</w:t>
            </w:r>
            <w:r w:rsidRPr="002D6F6F">
              <w:rPr>
                <w:rFonts w:ascii="Arial" w:hAnsi="Arial" w:cs="Arial"/>
                <w:sz w:val="22"/>
                <w:szCs w:val="22"/>
              </w:rPr>
              <w:t xml:space="preserve"> BUN in quintile (%)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(≤12 mg/dL)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334,857 (31.85)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13,956 (7.01)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976 (1.37)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184 (1.25)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9 (0.77)</w:t>
            </w:r>
          </w:p>
        </w:tc>
      </w:tr>
      <w:tr w:rsidR="00DA14CE" w:rsidRPr="002D6F6F" w:rsidTr="001B5839">
        <w:tc>
          <w:tcPr>
            <w:tcW w:w="153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(12.1-14 mg/dL)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178,152 (16.94)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15,070 (7.57)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1,354 (1.91)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34 (0.23)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3 (0.26)</w:t>
            </w:r>
          </w:p>
        </w:tc>
      </w:tr>
      <w:tr w:rsidR="00DA14CE" w:rsidRPr="002D6F6F" w:rsidTr="001B5839">
        <w:tc>
          <w:tcPr>
            <w:tcW w:w="153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3</w:t>
            </w:r>
          </w:p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(14.1-17 mg/dL)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243,489 (23.16)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35,926 (18.05)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4,275 (1.51)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129 (0.87)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9 (0.77)</w:t>
            </w:r>
          </w:p>
        </w:tc>
      </w:tr>
      <w:tr w:rsidR="00DA14CE" w:rsidRPr="002D6F6F" w:rsidTr="001B5839">
        <w:tc>
          <w:tcPr>
            <w:tcW w:w="153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4</w:t>
            </w:r>
          </w:p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(17.1-21 mg/dL)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193,936 (18.44)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55,895 (28.08)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10,996 (15.48)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419 (2.84)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4 (0.34)</w:t>
            </w:r>
          </w:p>
        </w:tc>
      </w:tr>
      <w:tr w:rsidR="00DA14CE" w:rsidRPr="002D6F6F" w:rsidTr="001B5839">
        <w:tc>
          <w:tcPr>
            <w:tcW w:w="1530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5</w:t>
            </w:r>
          </w:p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(&gt;21 mg/dL)</w:t>
            </w:r>
          </w:p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101,005 (9.61)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78,224 (39.29)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53,422 (75.22)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13,986 (94.81)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1,142 (97.86)</w:t>
            </w:r>
          </w:p>
        </w:tc>
      </w:tr>
      <w:tr w:rsidR="00DA14CE" w:rsidRPr="002D6F6F" w:rsidTr="001B5839">
        <w:tc>
          <w:tcPr>
            <w:tcW w:w="26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T</w:t>
            </w:r>
            <w:r w:rsidRPr="002D6F6F">
              <w:rPr>
                <w:rFonts w:ascii="Arial" w:hAnsi="Arial" w:cs="Arial"/>
                <w:sz w:val="22"/>
                <w:szCs w:val="22"/>
                <w:vertAlign w:val="subscript"/>
              </w:rPr>
              <w:t>0</w:t>
            </w:r>
            <w:r w:rsidRPr="002D6F6F">
              <w:rPr>
                <w:rFonts w:ascii="Arial" w:hAnsi="Arial" w:cs="Arial"/>
                <w:sz w:val="22"/>
                <w:szCs w:val="22"/>
              </w:rPr>
              <w:t xml:space="preserve"> serum carbon dioxide in MEQ/L (SD)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27.32 (2.98)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27.18 (3.05)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26.42 (3.26)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24.65 (4.26)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22.38 (4.23)</w:t>
            </w:r>
          </w:p>
        </w:tc>
      </w:tr>
      <w:tr w:rsidR="00DA14CE" w:rsidRPr="002D6F6F" w:rsidTr="001B5839">
        <w:tc>
          <w:tcPr>
            <w:tcW w:w="26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Chronic lung disease (%)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256,858 (24.43)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53,056 (26.65)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21,138 (29.76)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4,664 (31.62)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372 (31.88)</w:t>
            </w:r>
          </w:p>
        </w:tc>
      </w:tr>
      <w:tr w:rsidR="00DA14CE" w:rsidRPr="002D6F6F" w:rsidTr="001B5839">
        <w:tc>
          <w:tcPr>
            <w:tcW w:w="26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Peripheral artery disease (%)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32,445 (3.09)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10,936 (5.49)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5,807 (8.18)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1,657 (11.23)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134 (11.48)</w:t>
            </w:r>
          </w:p>
        </w:tc>
      </w:tr>
      <w:tr w:rsidR="00DA14CE" w:rsidRPr="002D6F6F" w:rsidTr="001B5839">
        <w:tc>
          <w:tcPr>
            <w:tcW w:w="26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Cardiovascular disease (%)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275,624 (26.21)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88,905 (44.66)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39,686 (55.88)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8,971 (60.81)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602 (51.59)</w:t>
            </w:r>
          </w:p>
        </w:tc>
      </w:tr>
      <w:tr w:rsidR="00DA14CE" w:rsidRPr="002D6F6F" w:rsidTr="001B5839">
        <w:tc>
          <w:tcPr>
            <w:tcW w:w="26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Cerebrovascular disease (%)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4,919 (0.47)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1,926 (0.97)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1,028 (1.45)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280 (1.90)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17 (1.46)</w:t>
            </w:r>
          </w:p>
        </w:tc>
      </w:tr>
      <w:tr w:rsidR="00DA14CE" w:rsidRPr="002D6F6F" w:rsidTr="001B5839">
        <w:tc>
          <w:tcPr>
            <w:tcW w:w="26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Dementia (%)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55,320 (5.26)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16,916 (8.50)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7,907 (11.13)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1,726 (11.70)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136 (11.65)</w:t>
            </w:r>
          </w:p>
        </w:tc>
      </w:tr>
      <w:tr w:rsidR="00DA14CE" w:rsidRPr="002D6F6F" w:rsidTr="001B5839">
        <w:tc>
          <w:tcPr>
            <w:tcW w:w="26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Hyperlipidemia (%)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700,881 (66.66)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153,367 (77.04)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55,465 (78.09)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11,226 (76.10)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799 (68.47)</w:t>
            </w:r>
          </w:p>
        </w:tc>
      </w:tr>
      <w:tr w:rsidR="00DA14CE" w:rsidRPr="002D6F6F" w:rsidTr="001B5839">
        <w:tc>
          <w:tcPr>
            <w:tcW w:w="26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Hepatitis C (%)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72,590 (6.90)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5,107 (2.57)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1,657 (2.33)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521 (3.53)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96 (8.23)</w:t>
            </w:r>
          </w:p>
        </w:tc>
      </w:tr>
      <w:tr w:rsidR="00DA14CE" w:rsidRPr="002D6F6F" w:rsidTr="001B5839">
        <w:tc>
          <w:tcPr>
            <w:tcW w:w="26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HIV (%)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3,947 (0.38)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333 (0.17)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120 (0.17)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30 (0.20)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7 (0.60)</w:t>
            </w:r>
          </w:p>
        </w:tc>
      </w:tr>
      <w:tr w:rsidR="00DA14CE" w:rsidRPr="002D6F6F" w:rsidTr="001B5839">
        <w:tc>
          <w:tcPr>
            <w:tcW w:w="26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Cancer (%)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166,404 (15.83)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47,748 (23.99)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20,168 (28.40)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4,456 (30.21)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388 (33.25)</w:t>
            </w:r>
          </w:p>
        </w:tc>
      </w:tr>
      <w:tr w:rsidR="00DA14CE" w:rsidRPr="002D6F6F" w:rsidTr="001B5839">
        <w:tc>
          <w:tcPr>
            <w:tcW w:w="26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Albuminuria (%)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46,964 (4.47)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14,843 (7.46)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9,511 (13.39)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4,113 (27.88)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611 (52.36)</w:t>
            </w:r>
          </w:p>
        </w:tc>
      </w:tr>
      <w:tr w:rsidR="00DA14CE" w:rsidRPr="002D6F6F" w:rsidTr="001B5839">
        <w:tc>
          <w:tcPr>
            <w:tcW w:w="135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tabs>
                <w:tab w:val="left" w:pos="2822"/>
              </w:tabs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 xml:space="preserve">Frequency of Outpatient encounters (%)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Low</w:t>
            </w:r>
          </w:p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(≤ 4.0 times/ year)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266,166 (25.31)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51,419 (25.83)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16,773 (23.62)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2,921 (19.80)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172 (14.74)</w:t>
            </w:r>
          </w:p>
        </w:tc>
      </w:tr>
      <w:tr w:rsidR="00DA14CE" w:rsidRPr="002D6F6F" w:rsidTr="001B5839">
        <w:tc>
          <w:tcPr>
            <w:tcW w:w="135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tabs>
                <w:tab w:val="left" w:pos="2822"/>
              </w:tabs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Med-Low</w:t>
            </w:r>
          </w:p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(4.0 – 7.2 times/ year)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262,808 (25.00)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52,471 (26.36)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18,002 (25.35)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3,295 (22.34)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219 (18.77)</w:t>
            </w:r>
          </w:p>
        </w:tc>
      </w:tr>
      <w:tr w:rsidR="00DA14CE" w:rsidRPr="002D6F6F" w:rsidTr="001B5839">
        <w:tc>
          <w:tcPr>
            <w:tcW w:w="135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tabs>
                <w:tab w:val="left" w:pos="2822"/>
              </w:tabs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Med-High</w:t>
            </w:r>
          </w:p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 xml:space="preserve">(7.2-13.2 </w:t>
            </w:r>
            <w:r w:rsidRPr="002D6F6F">
              <w:rPr>
                <w:rFonts w:ascii="Arial" w:hAnsi="Arial" w:cs="Arial"/>
                <w:sz w:val="22"/>
                <w:szCs w:val="22"/>
              </w:rPr>
              <w:lastRenderedPageBreak/>
              <w:t>times/ year)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lastRenderedPageBreak/>
              <w:t>262,417 (24.96)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48,690 (24.46)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17,665 (24.87)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3,799 (25.75)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284 (24.34)</w:t>
            </w:r>
          </w:p>
        </w:tc>
      </w:tr>
      <w:tr w:rsidR="00DA14CE" w:rsidRPr="002D6F6F" w:rsidTr="001B5839">
        <w:tc>
          <w:tcPr>
            <w:tcW w:w="135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tabs>
                <w:tab w:val="left" w:pos="2822"/>
              </w:tabs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High</w:t>
            </w:r>
          </w:p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(&gt;13.2 times/ year)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260,048 (24.73)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46,491 (23.35)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18,583 (26.16)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4,737 (32.11)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492 (42.16)</w:t>
            </w:r>
          </w:p>
        </w:tc>
      </w:tr>
      <w:tr w:rsidR="00DA14CE" w:rsidRPr="002D6F6F" w:rsidTr="001B5839">
        <w:tc>
          <w:tcPr>
            <w:tcW w:w="135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tabs>
                <w:tab w:val="left" w:pos="2822"/>
              </w:tabs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 xml:space="preserve">Frequency of Hospitalizations (%) 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Never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839,206 (79.81)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162,457 (81.61)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55,218 (77.75)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10,335 (70.06)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629 (53.90)</w:t>
            </w:r>
          </w:p>
        </w:tc>
      </w:tr>
      <w:tr w:rsidR="00DA14CE" w:rsidRPr="002D6F6F" w:rsidTr="001B5839">
        <w:tc>
          <w:tcPr>
            <w:tcW w:w="135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tabs>
                <w:tab w:val="left" w:pos="2822"/>
              </w:tabs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Low</w:t>
            </w:r>
          </w:p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(1 time)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117,864 (11.21)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20,186 (10.14)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7,744 (10.90)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1,962 (13.30)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193 (16.54)</w:t>
            </w:r>
          </w:p>
        </w:tc>
      </w:tr>
      <w:tr w:rsidR="00DA14CE" w:rsidRPr="002D6F6F" w:rsidTr="001B5839">
        <w:tc>
          <w:tcPr>
            <w:tcW w:w="135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tabs>
                <w:tab w:val="left" w:pos="2822"/>
              </w:tabs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Medium</w:t>
            </w:r>
          </w:p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(2 times)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43,586 (4.15)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7,928 (3.98)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3,617 (5.09)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972 (6.59)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129 (11.05)</w:t>
            </w:r>
          </w:p>
        </w:tc>
      </w:tr>
      <w:tr w:rsidR="00DA14CE" w:rsidRPr="002D6F6F" w:rsidTr="001B5839">
        <w:tc>
          <w:tcPr>
            <w:tcW w:w="135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tabs>
                <w:tab w:val="left" w:pos="2822"/>
              </w:tabs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High</w:t>
            </w:r>
          </w:p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(&gt; 2 times)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50,783 (4.83)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8,500 (4.27)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4,444 (6.26)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1,483 (10.05)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216 (18.51)</w:t>
            </w:r>
          </w:p>
        </w:tc>
      </w:tr>
      <w:tr w:rsidR="00DA14CE" w:rsidRPr="002D6F6F" w:rsidTr="001B5839">
        <w:tc>
          <w:tcPr>
            <w:tcW w:w="135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 xml:space="preserve">Body Mass Index </w:t>
            </w:r>
            <w:r w:rsidRPr="002D6F6F">
              <w:rPr>
                <w:rFonts w:ascii="Arial" w:hAnsi="Arial" w:cs="Arial"/>
                <w:sz w:val="22"/>
                <w:szCs w:val="22"/>
                <w:lang w:eastAsia="zh-CN"/>
              </w:rPr>
              <w:t>(%)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Underweight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16,268 (1.55)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2,370 (1.19)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1,190 (328)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328 (2.22)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41 (3.51)</w:t>
            </w:r>
          </w:p>
        </w:tc>
      </w:tr>
      <w:tr w:rsidR="00DA14CE" w:rsidRPr="002D6F6F" w:rsidTr="001B5839">
        <w:tc>
          <w:tcPr>
            <w:tcW w:w="135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Normal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257,871 (24.53)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51,080 (25.66)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21,798 (30.69)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5,296 (35.90)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466 (39.93)</w:t>
            </w:r>
          </w:p>
        </w:tc>
      </w:tr>
      <w:tr w:rsidR="00DA14CE" w:rsidRPr="002D6F6F" w:rsidTr="001B5839">
        <w:tc>
          <w:tcPr>
            <w:tcW w:w="135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Overweight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424,990 (40.42)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88,031 (44.22)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30,730 (43.27)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5,966 (40.44)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419 (35.90)</w:t>
            </w:r>
          </w:p>
        </w:tc>
      </w:tr>
      <w:tr w:rsidR="00DA14CE" w:rsidRPr="002D6F6F" w:rsidTr="001B5839">
        <w:trPr>
          <w:trHeight w:val="233"/>
        </w:trPr>
        <w:tc>
          <w:tcPr>
            <w:tcW w:w="135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 xml:space="preserve">Obesity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352,310 (33.51)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57,590 (28.93)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17,305 (24.37)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3,162 (21.43)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241 (20.65)</w:t>
            </w:r>
          </w:p>
        </w:tc>
      </w:tr>
      <w:tr w:rsidR="00DA14CE" w:rsidRPr="002D6F6F" w:rsidTr="001B5839">
        <w:tc>
          <w:tcPr>
            <w:tcW w:w="135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Use of Medication that increase risk of diabetes mellitus (%)</w:t>
            </w:r>
            <w:r w:rsidRPr="002D6F6F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Never use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875,405 (83.26)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164,792 (82.78)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57,930 (81.57)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11,689 (79.24)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910 (77.98)</w:t>
            </w:r>
          </w:p>
        </w:tc>
      </w:tr>
      <w:tr w:rsidR="00DA14CE" w:rsidRPr="002D6F6F" w:rsidTr="001B5839">
        <w:tc>
          <w:tcPr>
            <w:tcW w:w="135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Past use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143,820 (13.68)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27,298 (13.71)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10,545 (14.85)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2,516 (17.06)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225 (19.28)</w:t>
            </w:r>
          </w:p>
        </w:tc>
      </w:tr>
      <w:tr w:rsidR="00DA14CE" w:rsidRPr="002D6F6F" w:rsidTr="001B5839">
        <w:tc>
          <w:tcPr>
            <w:tcW w:w="135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Using &lt;90 days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11,873 (1.13)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2,265 (1.14)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840 (1.18)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199 (1.35)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12 (1.03)</w:t>
            </w:r>
          </w:p>
        </w:tc>
      </w:tr>
      <w:tr w:rsidR="00DA14CE" w:rsidRPr="002D6F6F" w:rsidTr="001B5839">
        <w:trPr>
          <w:trHeight w:val="602"/>
        </w:trPr>
        <w:tc>
          <w:tcPr>
            <w:tcW w:w="135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Using ≥90 days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20,341 (1.93)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4,716 (2.37)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1,708 (2.40)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348 (2.36)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20 (1.71)</w:t>
            </w:r>
          </w:p>
        </w:tc>
      </w:tr>
      <w:tr w:rsidR="00DA14CE" w:rsidRPr="002D6F6F" w:rsidTr="001B5839">
        <w:tc>
          <w:tcPr>
            <w:tcW w:w="26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 xml:space="preserve">Years of follow up (IQR)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 xml:space="preserve">4.93 (4.93, </w:t>
            </w:r>
            <w:r w:rsidRPr="002D6F6F">
              <w:rPr>
                <w:rFonts w:ascii="Arial" w:hAnsi="Arial" w:cs="Arial"/>
                <w:sz w:val="22"/>
                <w:szCs w:val="22"/>
              </w:rPr>
              <w:lastRenderedPageBreak/>
              <w:t>4.93)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lastRenderedPageBreak/>
              <w:t xml:space="preserve">4.93 (4.79, </w:t>
            </w:r>
            <w:r w:rsidRPr="002D6F6F">
              <w:rPr>
                <w:rFonts w:ascii="Arial" w:hAnsi="Arial" w:cs="Arial"/>
                <w:sz w:val="22"/>
                <w:szCs w:val="22"/>
              </w:rPr>
              <w:lastRenderedPageBreak/>
              <w:t>4.93)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lastRenderedPageBreak/>
              <w:t xml:space="preserve">4.93 (2.92, </w:t>
            </w:r>
            <w:r w:rsidRPr="002D6F6F">
              <w:rPr>
                <w:rFonts w:ascii="Arial" w:hAnsi="Arial" w:cs="Arial"/>
                <w:sz w:val="22"/>
                <w:szCs w:val="22"/>
              </w:rPr>
              <w:lastRenderedPageBreak/>
              <w:t>4.93)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lastRenderedPageBreak/>
              <w:t xml:space="preserve">4.13 (1.77, </w:t>
            </w:r>
            <w:r w:rsidRPr="002D6F6F">
              <w:rPr>
                <w:rFonts w:ascii="Arial" w:hAnsi="Arial" w:cs="Arial"/>
                <w:sz w:val="22"/>
                <w:szCs w:val="22"/>
              </w:rPr>
              <w:lastRenderedPageBreak/>
              <w:t>4.93)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lastRenderedPageBreak/>
              <w:t xml:space="preserve">3.74 (1.28, </w:t>
            </w:r>
            <w:r w:rsidRPr="002D6F6F">
              <w:rPr>
                <w:rFonts w:ascii="Arial" w:hAnsi="Arial" w:cs="Arial"/>
                <w:sz w:val="22"/>
                <w:szCs w:val="22"/>
              </w:rPr>
              <w:lastRenderedPageBreak/>
              <w:t>4.93)</w:t>
            </w:r>
          </w:p>
        </w:tc>
      </w:tr>
      <w:tr w:rsidR="00DA14CE" w:rsidRPr="002D6F6F" w:rsidTr="001B5839">
        <w:tc>
          <w:tcPr>
            <w:tcW w:w="26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lastRenderedPageBreak/>
              <w:t>Years till incident diabetes (IQR)</w:t>
            </w:r>
            <w:r w:rsidRPr="002D6F6F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2.21 (1.05, 3.43)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2.09 (0.98, 3.32)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1.86 (0.86, 3.16)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1.60 (0.71, 2.90)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1.07 (0.46, 2.18)</w:t>
            </w:r>
          </w:p>
        </w:tc>
      </w:tr>
      <w:tr w:rsidR="00DA14CE" w:rsidRPr="002D6F6F" w:rsidTr="001B5839">
        <w:tc>
          <w:tcPr>
            <w:tcW w:w="26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Number of outpatient serum creatinine measurement during follow up (IQR)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7 (4, 10)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7 (3, 10)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6 (3, 11)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6 (2, 12)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6 (2, 16)</w:t>
            </w:r>
          </w:p>
        </w:tc>
      </w:tr>
      <w:tr w:rsidR="00DA14CE" w:rsidRPr="002D6F6F" w:rsidTr="001B5839">
        <w:tc>
          <w:tcPr>
            <w:tcW w:w="26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Number of outpatient BUN measurement during follow up (IQR)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7 (4, 10)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7 (4, 11)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6 (3, 11)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6 (2, 12)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2D6F6F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6F6F">
              <w:rPr>
                <w:rFonts w:ascii="Arial" w:hAnsi="Arial" w:cs="Arial"/>
                <w:sz w:val="22"/>
                <w:szCs w:val="22"/>
              </w:rPr>
              <w:t>6 (2, 17)</w:t>
            </w:r>
          </w:p>
        </w:tc>
      </w:tr>
      <w:tr w:rsidR="00DA14CE" w:rsidRPr="002D6F6F" w:rsidTr="001B5839">
        <w:tc>
          <w:tcPr>
            <w:tcW w:w="26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Number of albuminuria measurement during follow up (IQR)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3 (1, 5)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2 (1, 5)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2 (1, 5)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2 (1, 5)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2 (1, 5)</w:t>
            </w:r>
          </w:p>
        </w:tc>
      </w:tr>
      <w:tr w:rsidR="00DA14CE" w:rsidRPr="002D6F6F" w:rsidTr="001B5839">
        <w:tc>
          <w:tcPr>
            <w:tcW w:w="26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Number of HbA1C measurement during follow up (IQR)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2 (1, 3)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1 (0, 3)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1 (0, 2)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1 (0, 2)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1 (0, 2)</w:t>
            </w:r>
          </w:p>
        </w:tc>
      </w:tr>
      <w:tr w:rsidR="00DA14CE" w:rsidRPr="002D6F6F" w:rsidTr="001B5839">
        <w:tc>
          <w:tcPr>
            <w:tcW w:w="261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Incident diabetes mellitus (%)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138,680 (13.19)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24,738 (12.43)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8,035 (11.31)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1,390 (9.42)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70 (6.00)</w:t>
            </w:r>
          </w:p>
        </w:tc>
      </w:tr>
      <w:tr w:rsidR="00DA14CE" w:rsidRPr="002D6F6F" w:rsidTr="001B5839">
        <w:tc>
          <w:tcPr>
            <w:tcW w:w="261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Competing risk (%)</w:t>
            </w:r>
            <w:r w:rsidRPr="00FE2934">
              <w:rPr>
                <w:rFonts w:ascii="Arial" w:hAnsi="Arial" w:cs="Arial"/>
                <w:sz w:val="22"/>
                <w:szCs w:val="22"/>
                <w:vertAlign w:val="superscript"/>
              </w:rPr>
              <w:t>c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126,081 (11.99)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47,091 (23.66)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27,314 (38.46)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8,840 (59.92)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952 (81.58)</w:t>
            </w:r>
          </w:p>
        </w:tc>
      </w:tr>
      <w:tr w:rsidR="00DA14CE" w:rsidRPr="002D6F6F" w:rsidTr="001B5839">
        <w:tc>
          <w:tcPr>
            <w:tcW w:w="261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Weighted incident diabetes mellitus (%)</w:t>
            </w:r>
            <w:r w:rsidRPr="00FE2934">
              <w:rPr>
                <w:rFonts w:ascii="Arial" w:hAnsi="Arial" w:cs="Arial"/>
                <w:sz w:val="22"/>
                <w:szCs w:val="22"/>
                <w:vertAlign w:val="superscript"/>
              </w:rPr>
              <w:t>d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158,681.59 (15.09)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33,291.66 (16.68)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14,395.36 (19.75)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4,845.18 (28.24)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1,054.68 (37.10)</w:t>
            </w:r>
          </w:p>
        </w:tc>
      </w:tr>
      <w:tr w:rsidR="00DA14CE" w:rsidRPr="002D6F6F" w:rsidTr="001B5839">
        <w:tc>
          <w:tcPr>
            <w:tcW w:w="1062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14CE" w:rsidRPr="00FE2934" w:rsidRDefault="00DA14CE" w:rsidP="001B5839">
            <w:pPr>
              <w:spacing w:before="100" w:after="100" w:line="276" w:lineRule="auto"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 xml:space="preserve">BUN, blood urea nitrogen; CKD, chronic kidney disease; </w:t>
            </w:r>
            <w:proofErr w:type="spellStart"/>
            <w:r w:rsidRPr="00FE2934">
              <w:rPr>
                <w:rFonts w:ascii="Arial" w:hAnsi="Arial" w:cs="Arial"/>
                <w:sz w:val="22"/>
                <w:szCs w:val="22"/>
              </w:rPr>
              <w:t>eGFR</w:t>
            </w:r>
            <w:proofErr w:type="spellEnd"/>
            <w:r w:rsidRPr="00FE2934">
              <w:rPr>
                <w:rFonts w:ascii="Arial" w:hAnsi="Arial" w:cs="Arial"/>
                <w:sz w:val="22"/>
                <w:szCs w:val="22"/>
              </w:rPr>
              <w:t>, estimated glomerular filtration rate; IQR, interquartile range; SD, standard deviation.</w:t>
            </w:r>
          </w:p>
          <w:p w:rsidR="00DA14CE" w:rsidRPr="00FE2934" w:rsidRDefault="00DA14CE" w:rsidP="00DA14CE">
            <w:pPr>
              <w:numPr>
                <w:ilvl w:val="0"/>
                <w:numId w:val="1"/>
              </w:numPr>
              <w:spacing w:before="100" w:after="10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Grouped into four levels as never use: did not use before T</w:t>
            </w:r>
            <w:r w:rsidRPr="00FE2934">
              <w:rPr>
                <w:rFonts w:ascii="Arial" w:hAnsi="Arial" w:cs="Arial"/>
                <w:sz w:val="22"/>
                <w:szCs w:val="22"/>
                <w:vertAlign w:val="subscript"/>
              </w:rPr>
              <w:t>0</w:t>
            </w:r>
            <w:r w:rsidRPr="00FE2934">
              <w:rPr>
                <w:rFonts w:ascii="Arial" w:hAnsi="Arial" w:cs="Arial"/>
                <w:sz w:val="22"/>
                <w:szCs w:val="22"/>
              </w:rPr>
              <w:t>; Past use: not using at T</w:t>
            </w:r>
            <w:r w:rsidRPr="00FE2934">
              <w:rPr>
                <w:rFonts w:ascii="Arial" w:hAnsi="Arial" w:cs="Arial"/>
                <w:sz w:val="22"/>
                <w:szCs w:val="22"/>
                <w:vertAlign w:val="subscript"/>
              </w:rPr>
              <w:t>0</w:t>
            </w:r>
            <w:r w:rsidRPr="00FE2934">
              <w:rPr>
                <w:rFonts w:ascii="Arial" w:hAnsi="Arial" w:cs="Arial"/>
                <w:sz w:val="22"/>
                <w:szCs w:val="22"/>
              </w:rPr>
              <w:t xml:space="preserve"> but used before T</w:t>
            </w:r>
            <w:r w:rsidRPr="00FE2934">
              <w:rPr>
                <w:rFonts w:ascii="Arial" w:hAnsi="Arial" w:cs="Arial"/>
                <w:sz w:val="22"/>
                <w:szCs w:val="22"/>
                <w:vertAlign w:val="subscript"/>
              </w:rPr>
              <w:t>0</w:t>
            </w:r>
            <w:r w:rsidRPr="00FE2934">
              <w:rPr>
                <w:rFonts w:ascii="Arial" w:hAnsi="Arial" w:cs="Arial"/>
                <w:sz w:val="22"/>
                <w:szCs w:val="22"/>
              </w:rPr>
              <w:t>; Using &lt; 90 days: using and the newest prescription starts within 90 days before T</w:t>
            </w:r>
            <w:r w:rsidRPr="00FE2934">
              <w:rPr>
                <w:rFonts w:ascii="Arial" w:hAnsi="Arial" w:cs="Arial"/>
                <w:sz w:val="22"/>
                <w:szCs w:val="22"/>
                <w:vertAlign w:val="subscript"/>
              </w:rPr>
              <w:t>0</w:t>
            </w:r>
            <w:r w:rsidRPr="00FE2934">
              <w:rPr>
                <w:rFonts w:ascii="Arial" w:hAnsi="Arial" w:cs="Arial"/>
                <w:sz w:val="22"/>
                <w:szCs w:val="22"/>
              </w:rPr>
              <w:t>; Using ≥90 days: using and the newest prescription starts more than 90 days before T</w:t>
            </w:r>
            <w:r w:rsidRPr="00FE2934">
              <w:rPr>
                <w:rFonts w:ascii="Arial" w:hAnsi="Arial" w:cs="Arial"/>
                <w:sz w:val="22"/>
                <w:szCs w:val="22"/>
                <w:vertAlign w:val="subscript"/>
              </w:rPr>
              <w:t>0</w:t>
            </w:r>
            <w:r w:rsidRPr="00FE2934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A14CE" w:rsidRPr="00FE2934" w:rsidRDefault="00DA14CE" w:rsidP="00DA14CE">
            <w:pPr>
              <w:numPr>
                <w:ilvl w:val="0"/>
                <w:numId w:val="1"/>
              </w:numPr>
              <w:spacing w:before="100" w:after="100" w:line="276" w:lineRule="auto"/>
              <w:contextualSpacing/>
              <w:rPr>
                <w:rFonts w:ascii="Arial" w:hAnsi="Arial" w:cs="Arial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Within participants who experienced incident diabetes.</w:t>
            </w:r>
          </w:p>
          <w:p w:rsidR="00DA14CE" w:rsidRPr="00FE2934" w:rsidRDefault="00DA14CE" w:rsidP="00DA14CE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>Competing risk included death, kidney transplant and dialysis</w:t>
            </w:r>
          </w:p>
          <w:p w:rsidR="00DA14CE" w:rsidRPr="00FE2934" w:rsidRDefault="00DA14CE" w:rsidP="00DA14CE">
            <w:pPr>
              <w:numPr>
                <w:ilvl w:val="0"/>
                <w:numId w:val="1"/>
              </w:numPr>
              <w:spacing w:before="100" w:after="100" w:line="276" w:lineRule="auto"/>
              <w:contextualSpacing/>
              <w:rPr>
                <w:rFonts w:ascii="Arial" w:hAnsi="Arial" w:cs="Arial"/>
              </w:rPr>
            </w:pPr>
            <w:r w:rsidRPr="00FE2934">
              <w:rPr>
                <w:rFonts w:ascii="Arial" w:hAnsi="Arial" w:cs="Arial"/>
                <w:sz w:val="22"/>
                <w:szCs w:val="22"/>
              </w:rPr>
              <w:t xml:space="preserve">Based on pseudo cohort by inverse probability weighting. Pseudo cohort with weighted participants 1051629.92, 199551.89, 72881.06, 17157.10 and 2842.70 across </w:t>
            </w:r>
            <w:proofErr w:type="spellStart"/>
            <w:r w:rsidRPr="00FE2934">
              <w:rPr>
                <w:rFonts w:ascii="Arial" w:hAnsi="Arial" w:cs="Arial"/>
                <w:sz w:val="22"/>
                <w:szCs w:val="22"/>
              </w:rPr>
              <w:t>eGFR</w:t>
            </w:r>
            <w:proofErr w:type="spellEnd"/>
            <w:r w:rsidRPr="00FE2934">
              <w:rPr>
                <w:rFonts w:ascii="Arial" w:hAnsi="Arial" w:cs="Arial"/>
                <w:sz w:val="22"/>
                <w:szCs w:val="22"/>
              </w:rPr>
              <w:t xml:space="preserve"> categories.</w:t>
            </w:r>
          </w:p>
        </w:tc>
      </w:tr>
    </w:tbl>
    <w:p w:rsidR="00DA14CE" w:rsidRPr="002D6F6F" w:rsidRDefault="00DA14CE" w:rsidP="00DA14CE">
      <w:pPr>
        <w:spacing w:before="100" w:after="100" w:line="276" w:lineRule="auto"/>
        <w:rPr>
          <w:rFonts w:ascii="Calibri" w:hAnsi="Calibri" w:cs="Times New Roman"/>
          <w:b/>
          <w:sz w:val="22"/>
          <w:szCs w:val="22"/>
        </w:rPr>
      </w:pPr>
    </w:p>
    <w:p w:rsidR="00DA14CE" w:rsidRPr="002D6F6F" w:rsidRDefault="00DA14CE" w:rsidP="00DA14CE">
      <w:pPr>
        <w:spacing w:before="100" w:after="100" w:line="276" w:lineRule="auto"/>
        <w:rPr>
          <w:rFonts w:ascii="Calibri" w:hAnsi="Calibri" w:cs="Times New Roman"/>
          <w:b/>
          <w:sz w:val="22"/>
          <w:szCs w:val="22"/>
        </w:rPr>
      </w:pPr>
    </w:p>
    <w:p w:rsidR="00187C8E" w:rsidRDefault="00DA14CE">
      <w:bookmarkStart w:id="0" w:name="_GoBack"/>
      <w:bookmarkEnd w:id="0"/>
    </w:p>
    <w:sectPr w:rsidR="00187C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D5B81"/>
    <w:multiLevelType w:val="hybridMultilevel"/>
    <w:tmpl w:val="7B061C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CE"/>
    <w:rsid w:val="005E4A1D"/>
    <w:rsid w:val="00DA14CE"/>
    <w:rsid w:val="00E0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4CE"/>
    <w:pPr>
      <w:spacing w:after="0" w:line="240" w:lineRule="auto"/>
    </w:pPr>
    <w:rPr>
      <w:rFonts w:eastAsia="SimSu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4CE"/>
    <w:pPr>
      <w:spacing w:after="0" w:line="240" w:lineRule="auto"/>
    </w:pPr>
    <w:rPr>
      <w:rFonts w:eastAsia="SimSu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846</Words>
  <Characters>4828</Characters>
  <Application>Microsoft Office Word</Application>
  <DocSecurity>0</DocSecurity>
  <Lines>40</Lines>
  <Paragraphs>11</Paragraphs>
  <ScaleCrop>false</ScaleCrop>
  <Company>Reed Elsevier</Company>
  <LinksUpToDate>false</LinksUpToDate>
  <CharactersWithSpaces>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Reed Elsevier</dc:creator>
  <cp:lastModifiedBy>Reed Elsevier</cp:lastModifiedBy>
  <cp:revision>1</cp:revision>
  <dcterms:created xsi:type="dcterms:W3CDTF">2017-09-18T19:46:00Z</dcterms:created>
  <dcterms:modified xsi:type="dcterms:W3CDTF">2017-09-18T19:46:00Z</dcterms:modified>
</cp:coreProperties>
</file>