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9"/>
        <w:gridCol w:w="904"/>
        <w:gridCol w:w="736"/>
        <w:gridCol w:w="736"/>
        <w:gridCol w:w="736"/>
        <w:gridCol w:w="823"/>
      </w:tblGrid>
      <w:tr w:rsidR="00693DD9">
        <w:trPr>
          <w:cantSplit/>
          <w:tblHeader/>
          <w:jc w:val="center"/>
        </w:trPr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0" w:name="IDX"/>
            <w:bookmarkEnd w:id="0"/>
            <w:r>
              <w:rPr>
                <w:b/>
                <w:bCs/>
                <w:color w:val="000000"/>
                <w:sz w:val="22"/>
                <w:szCs w:val="22"/>
              </w:rPr>
              <w:t>Symptom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Grade 1 AE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Grade 2 AE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Grade 3 AE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Grade 4 AE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All grades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Headache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404 (19)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44 (25)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450 (20)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Dizziness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252 (12)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13 (7)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266 (12)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Fatigue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199 (10)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10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210 (9)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Fever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158 (8)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36 (20)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196 (9)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Abdominal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165 (8)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(4)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(20)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176 (8)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Nausea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160 (8)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165 (7)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Joint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90 (4)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12 (7)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102 (4)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Muscle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87 (4)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8 (4)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96 (4)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Muscle weakness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91 (4)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94 (4)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Vomiting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72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8 (4)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80 (3)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Itchy skin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60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66 (3)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Diarrhea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50 (2)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56 (2)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Cough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50 (2)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53 (2)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Scrotal pain or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32 (2)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35 (2)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Rash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22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24 (1)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Difficulty breathing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13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 (1)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Pelvic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13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13 (1)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Epigastric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12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12 (1)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Hypersalivation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Axillary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Groin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Hypertension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(20)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Low back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Backache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Groin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Hunger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Leg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Sore throat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Drowsiness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of feet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Boil on leg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Eye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Insomnia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Malaise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Neck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(r) testicle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arm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of legs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Testicular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Bloating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Breast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Chest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Chills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Febrile reaction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Generalized aching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Hypogastric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Lumbar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Neck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Rhinorrhea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Throat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Ankle injury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Arm discomfort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Axillary lump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Blood pressure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Boil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Boil on face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Breast abscess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Breast inflammation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Breast tenderness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Bruise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Cervical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Common cold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Conjunctivitis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Constipation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Dysmenorrhea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Dysuria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Ear ache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Ear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Epigastralgia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External ear inflammation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Eye redness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Eyebrow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Facial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Facial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Flu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General malaise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General pruritus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Gingival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Gum bleeding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Haemoptysis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Hearing reduced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Hypermenorrhea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Inappetence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Knee injury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Knee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Laceration of leg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Localized itching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Lymphadenopathy inguinal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Numbness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Numbness generalised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Numbness in leg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Numbness of upper arm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Pain in limb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Painful urination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Rigors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Sleepy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(l) testicle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face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Tingling tongue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Tonsillitis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Tooth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Weakness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Weakness generalized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3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Weakness of limbs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</w:tbl>
    <w:p w:rsidR="00693DD9" w:rsidRDefault="00693DD9">
      <w:pPr>
        <w:adjustRightInd w:val="0"/>
        <w:rPr>
          <w:color w:val="000000"/>
        </w:rPr>
      </w:pPr>
    </w:p>
    <w:p w:rsidR="00693DD9" w:rsidRDefault="00693DD9">
      <w:pPr>
        <w:adjustRightInd w:val="0"/>
        <w:rPr>
          <w:color w:val="000000"/>
        </w:rPr>
      </w:pPr>
    </w:p>
    <w:p w:rsidR="00693DD9" w:rsidRDefault="00693DD9">
      <w:pPr>
        <w:adjustRightInd w:val="0"/>
        <w:rPr>
          <w:color w:val="000000"/>
        </w:rPr>
        <w:sectPr w:rsidR="00693DD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360" w:right="360" w:bottom="360" w:left="360" w:header="720" w:footer="360" w:gutter="0"/>
          <w:pgNumType w:start="1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1"/>
        <w:gridCol w:w="1241"/>
        <w:gridCol w:w="1241"/>
        <w:gridCol w:w="674"/>
        <w:gridCol w:w="761"/>
      </w:tblGrid>
      <w:tr w:rsidR="00693DD9">
        <w:trPr>
          <w:cantSplit/>
          <w:tblHeader/>
          <w:jc w:val="center"/>
        </w:trPr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" w:name="IDX1"/>
            <w:bookmarkEnd w:id="1"/>
            <w:r>
              <w:rPr>
                <w:b/>
                <w:bCs/>
                <w:color w:val="000000"/>
                <w:sz w:val="22"/>
                <w:szCs w:val="22"/>
              </w:rPr>
              <w:t>Total grade 1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 grade 2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 grade 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 grade 4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 all grades</w:t>
            </w:r>
          </w:p>
        </w:tc>
      </w:tr>
      <w:tr w:rsidR="00693DD9">
        <w:trPr>
          <w:cantSplit/>
          <w:jc w:val="center"/>
        </w:trPr>
        <w:tc>
          <w:tcPr>
            <w:tcW w:w="12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2088</w:t>
            </w:r>
          </w:p>
        </w:tc>
        <w:tc>
          <w:tcPr>
            <w:tcW w:w="124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124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2287</w:t>
            </w:r>
          </w:p>
        </w:tc>
      </w:tr>
    </w:tbl>
    <w:p w:rsidR="00693DD9" w:rsidRDefault="00693DD9">
      <w:pPr>
        <w:adjustRightInd w:val="0"/>
        <w:rPr>
          <w:color w:val="000000"/>
        </w:rPr>
      </w:pPr>
    </w:p>
    <w:p w:rsidR="00693DD9" w:rsidRDefault="00693DD9">
      <w:pPr>
        <w:adjustRightInd w:val="0"/>
        <w:rPr>
          <w:color w:val="000000"/>
        </w:rPr>
        <w:sectPr w:rsidR="00693DD9">
          <w:headerReference w:type="default" r:id="rId12"/>
          <w:footerReference w:type="default" r:id="rId13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7"/>
        <w:gridCol w:w="904"/>
        <w:gridCol w:w="736"/>
        <w:gridCol w:w="736"/>
        <w:gridCol w:w="736"/>
        <w:gridCol w:w="823"/>
      </w:tblGrid>
      <w:tr w:rsidR="00693DD9">
        <w:trPr>
          <w:cantSplit/>
          <w:tblHeader/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" w:name="IDX2"/>
            <w:bookmarkEnd w:id="2"/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Symptom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Grade 1 AE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Grade 2 AE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Grade 3 AE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Grade 4 AE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All grades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Headache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503 (19)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57 (23)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561 (20)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Dizziness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303 (12)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 (7)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321 (11)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Fatigue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302 (12)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15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319 (11)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Fever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257 (10)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34 (14)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291 (10)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Muscle weakness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178 (7)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185 (6)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Abdominal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164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14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180 (6)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Muscle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145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13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160 (6)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Joint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129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 (7)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145 (5)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Nausea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123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12 (5)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135 (5)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Vomiting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76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 (7)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93 (3)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Diarrhea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75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(18)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85 (3)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Itchy skin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75 (3)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 (2)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81 (3)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Cough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63 (2)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(2)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68 (2)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Rash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24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26 (1)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Scrotal pain or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15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16 (1)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Difficulty breathing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13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Groin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13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13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of legs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Low back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arm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9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Drowsiness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Epigastric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Groin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Chills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Sore throat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of eyelid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(1)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Sleepy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5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Hypersalivation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Common cold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Hunger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Abscess leg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Axillary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Backache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Chest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Earache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Eye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Gastritis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Insomnia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Malaise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Numbness in hand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Pelvic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Subcutaneous nodule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abdomen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Visual impairment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Abscess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Ache nos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Ankle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Appetite lost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Axillary lump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Blood pressure high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Boil on leg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Breast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Conjunctivitis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Decreased appetite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Delusion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Dysentery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Dyspepsia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Ear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Ear ringing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Falciparum malaria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Febrile reaction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Fingers stiffness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Flu-like symptoms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Foot injury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Foot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Furuncle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Gastric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Generalized pruritus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Greenstick fracture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Head cold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Hemoptysis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Hemorrhoids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Hypogastric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Incision site infection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Infected skin ulcer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Influenza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Knee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Leg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Lip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Lumbar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Malaria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Neck pain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Neck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Pain in heel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Polyuria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Pruritis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3147EA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Per vagina </w:t>
            </w:r>
            <w:r w:rsidR="00437898">
              <w:rPr>
                <w:color w:val="000000"/>
              </w:rPr>
              <w:t>bleeding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Rigors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(6)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Scabies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Somnolence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Spontaneous penile erection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Sputum bloody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Stomach burning sensation of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(r) testicle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face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of feet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Swelling of hands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Swollen eyelid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Testicular swelling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  <w:tr w:rsidR="00693DD9">
        <w:trPr>
          <w:cantSplit/>
          <w:jc w:val="center"/>
        </w:trPr>
        <w:tc>
          <w:tcPr>
            <w:tcW w:w="2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Weakness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 (0)</w:t>
            </w:r>
          </w:p>
        </w:tc>
      </w:tr>
    </w:tbl>
    <w:p w:rsidR="00693DD9" w:rsidRDefault="00693DD9">
      <w:pPr>
        <w:adjustRightInd w:val="0"/>
        <w:rPr>
          <w:color w:val="000000"/>
        </w:rPr>
      </w:pPr>
    </w:p>
    <w:p w:rsidR="00693DD9" w:rsidRDefault="00693DD9">
      <w:pPr>
        <w:adjustRightInd w:val="0"/>
        <w:rPr>
          <w:color w:val="000000"/>
        </w:rPr>
      </w:pPr>
    </w:p>
    <w:p w:rsidR="00693DD9" w:rsidRDefault="00693DD9">
      <w:pPr>
        <w:adjustRightInd w:val="0"/>
        <w:rPr>
          <w:color w:val="000000"/>
        </w:rPr>
        <w:sectPr w:rsidR="00693DD9">
          <w:headerReference w:type="default" r:id="rId14"/>
          <w:footerReference w:type="default" r:id="rId15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1"/>
        <w:gridCol w:w="1241"/>
        <w:gridCol w:w="1241"/>
        <w:gridCol w:w="674"/>
        <w:gridCol w:w="761"/>
      </w:tblGrid>
      <w:tr w:rsidR="00693DD9">
        <w:trPr>
          <w:cantSplit/>
          <w:tblHeader/>
          <w:jc w:val="center"/>
        </w:trPr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4" w:name="IDX3"/>
            <w:bookmarkEnd w:id="4"/>
            <w:r>
              <w:rPr>
                <w:b/>
                <w:bCs/>
                <w:color w:val="000000"/>
                <w:sz w:val="22"/>
                <w:szCs w:val="22"/>
              </w:rPr>
              <w:t>Total grade 1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 grade 2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 grade 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 grade 4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 all grades</w:t>
            </w:r>
          </w:p>
        </w:tc>
      </w:tr>
      <w:tr w:rsidR="00693DD9">
        <w:trPr>
          <w:cantSplit/>
          <w:jc w:val="center"/>
        </w:trPr>
        <w:tc>
          <w:tcPr>
            <w:tcW w:w="12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2607</w:t>
            </w:r>
          </w:p>
        </w:tc>
        <w:tc>
          <w:tcPr>
            <w:tcW w:w="124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124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693DD9" w:rsidRDefault="00437898">
            <w:pPr>
              <w:adjustRightInd w:val="0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2869</w:t>
            </w:r>
          </w:p>
        </w:tc>
      </w:tr>
    </w:tbl>
    <w:p w:rsidR="00693DD9" w:rsidRDefault="00693DD9">
      <w:pPr>
        <w:adjustRightInd w:val="0"/>
        <w:rPr>
          <w:color w:val="000000"/>
        </w:rPr>
      </w:pPr>
    </w:p>
    <w:p w:rsidR="00693DD9" w:rsidRDefault="00693DD9">
      <w:pPr>
        <w:adjustRightInd w:val="0"/>
        <w:rPr>
          <w:color w:val="000000"/>
        </w:rPr>
      </w:pPr>
    </w:p>
    <w:p w:rsidR="004C47D0" w:rsidRDefault="004C47D0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20"/>
      </w:tblGrid>
      <w:tr w:rsidR="004C47D0" w:rsidRPr="004C47D0" w:rsidTr="004C47D0">
        <w:trPr>
          <w:cantSplit/>
          <w:jc w:val="center"/>
        </w:trPr>
        <w:tc>
          <w:tcPr>
            <w:tcW w:w="11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tbl>
            <w:tblPr>
              <w:tblW w:w="115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520"/>
            </w:tblGrid>
            <w:tr w:rsidR="004C47D0" w:rsidRPr="00FE50E9" w:rsidTr="00FE50E9">
              <w:trPr>
                <w:cantSplit/>
                <w:jc w:val="center"/>
              </w:trPr>
              <w:tc>
                <w:tcPr>
                  <w:tcW w:w="1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FE50E9" w:rsidRPr="00FE50E9" w:rsidRDefault="00FE50E9" w:rsidP="003C543F">
                  <w:pPr>
                    <w:tabs>
                      <w:tab w:val="left" w:pos="10440"/>
                    </w:tabs>
                    <w:adjustRightInd w:val="0"/>
                    <w:ind w:left="1260" w:right="1530"/>
                    <w:rPr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C47D0" w:rsidRPr="00FE50E9" w:rsidTr="00FE50E9">
              <w:trPr>
                <w:cantSplit/>
                <w:jc w:val="center"/>
              </w:trPr>
              <w:tc>
                <w:tcPr>
                  <w:tcW w:w="1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3C543F" w:rsidRDefault="003C543F" w:rsidP="003C543F">
                  <w:pPr>
                    <w:tabs>
                      <w:tab w:val="left" w:pos="10440"/>
                    </w:tabs>
                    <w:adjustRightInd w:val="0"/>
                    <w:spacing w:line="360" w:lineRule="auto"/>
                    <w:ind w:left="1267" w:right="1526"/>
                    <w:rPr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color w:val="000000"/>
                      <w:sz w:val="22"/>
                      <w:szCs w:val="22"/>
                    </w:rPr>
                    <w:t xml:space="preserve">Note: </w:t>
                  </w:r>
                  <w:r w:rsidRPr="00FE50E9">
                    <w:rPr>
                      <w:bCs/>
                      <w:iCs/>
                      <w:color w:val="000000"/>
                      <w:sz w:val="22"/>
                      <w:szCs w:val="22"/>
                    </w:rPr>
                    <w:t>These tables include all adverse events</w:t>
                  </w:r>
                  <w:r>
                    <w:rPr>
                      <w:bCs/>
                      <w:iCs/>
                      <w:color w:val="000000"/>
                      <w:sz w:val="22"/>
                      <w:szCs w:val="22"/>
                    </w:rPr>
                    <w:t xml:space="preserve"> (AE’s) including all events counted as “other” in Figure 3. Some p</w:t>
                  </w:r>
                  <w:r w:rsidRPr="00FE50E9">
                    <w:rPr>
                      <w:bCs/>
                      <w:iCs/>
                      <w:color w:val="000000"/>
                      <w:sz w:val="22"/>
                      <w:szCs w:val="22"/>
                    </w:rPr>
                    <w:t>articipants experienced more than one adverse event. For participants that had the same adverse even</w:t>
                  </w:r>
                  <w:r>
                    <w:rPr>
                      <w:bCs/>
                      <w:iCs/>
                      <w:color w:val="000000"/>
                      <w:sz w:val="22"/>
                      <w:szCs w:val="22"/>
                    </w:rPr>
                    <w:t>t</w:t>
                  </w:r>
                  <w:r w:rsidRPr="00FE50E9">
                    <w:rPr>
                      <w:bCs/>
                      <w:iCs/>
                      <w:color w:val="000000"/>
                      <w:sz w:val="22"/>
                      <w:szCs w:val="22"/>
                    </w:rPr>
                    <w:t xml:space="preserve"> over multiple days, only the highest grade event is listed reported. </w:t>
                  </w:r>
                  <w:r>
                    <w:rPr>
                      <w:bCs/>
                      <w:iCs/>
                      <w:color w:val="000000"/>
                      <w:sz w:val="22"/>
                      <w:szCs w:val="22"/>
                    </w:rPr>
                    <w:t xml:space="preserve">AE’s are </w:t>
                  </w:r>
                  <w:r w:rsidRPr="00FE50E9">
                    <w:rPr>
                      <w:bCs/>
                      <w:iCs/>
                      <w:color w:val="000000"/>
                      <w:sz w:val="22"/>
                      <w:szCs w:val="22"/>
                    </w:rPr>
                    <w:t xml:space="preserve">reported according to </w:t>
                  </w:r>
                  <w:r w:rsidR="00FF34A9">
                    <w:rPr>
                      <w:bCs/>
                      <w:iCs/>
                      <w:color w:val="000000"/>
                      <w:sz w:val="22"/>
                      <w:szCs w:val="22"/>
                    </w:rPr>
                    <w:t>adverse event lowest level term (</w:t>
                  </w:r>
                  <w:r w:rsidRPr="00FE50E9">
                    <w:rPr>
                      <w:bCs/>
                      <w:iCs/>
                      <w:color w:val="000000"/>
                      <w:sz w:val="22"/>
                      <w:szCs w:val="22"/>
                    </w:rPr>
                    <w:t>AELLT</w:t>
                  </w:r>
                  <w:r w:rsidR="00FF34A9">
                    <w:rPr>
                      <w:bCs/>
                      <w:iCs/>
                      <w:color w:val="000000"/>
                      <w:sz w:val="22"/>
                      <w:szCs w:val="22"/>
                    </w:rPr>
                    <w:t>)</w:t>
                  </w:r>
                  <w:r w:rsidRPr="00FE50E9">
                    <w:rPr>
                      <w:bCs/>
                      <w:iCs/>
                      <w:color w:val="000000"/>
                      <w:sz w:val="22"/>
                      <w:szCs w:val="22"/>
                    </w:rPr>
                    <w:t xml:space="preserve"> medical coding</w:t>
                  </w:r>
                  <w:r>
                    <w:rPr>
                      <w:bCs/>
                      <w:iCs/>
                      <w:color w:val="000000"/>
                      <w:sz w:val="22"/>
                      <w:szCs w:val="22"/>
                    </w:rPr>
                    <w:t xml:space="preserve">. Serious adverse events are described in the S4 Appendix and not included in this table. Values reported are number and %, where % refers to the percentage of the total number of that type of AE by grade.  </w:t>
                  </w:r>
                </w:p>
                <w:p w:rsidR="004C47D0" w:rsidRPr="00FE50E9" w:rsidRDefault="004C47D0" w:rsidP="004C47D0">
                  <w:pPr>
                    <w:tabs>
                      <w:tab w:val="left" w:pos="10440"/>
                    </w:tabs>
                    <w:adjustRightInd w:val="0"/>
                    <w:ind w:left="1260" w:right="1530"/>
                    <w:rPr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C47D0" w:rsidRPr="00FE50E9" w:rsidTr="00FE50E9">
              <w:trPr>
                <w:cantSplit/>
                <w:jc w:val="center"/>
              </w:trPr>
              <w:tc>
                <w:tcPr>
                  <w:tcW w:w="1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4C47D0" w:rsidRPr="00FE50E9" w:rsidRDefault="004C47D0" w:rsidP="004C47D0">
                  <w:pPr>
                    <w:tabs>
                      <w:tab w:val="left" w:pos="10440"/>
                    </w:tabs>
                    <w:adjustRightInd w:val="0"/>
                    <w:ind w:left="1260" w:right="1530"/>
                    <w:rPr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C47D0" w:rsidRPr="00FE50E9" w:rsidTr="00FE50E9">
              <w:trPr>
                <w:cantSplit/>
                <w:jc w:val="center"/>
              </w:trPr>
              <w:tc>
                <w:tcPr>
                  <w:tcW w:w="1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left w:w="10" w:type="dxa"/>
                    <w:right w:w="10" w:type="dxa"/>
                  </w:tcMar>
                </w:tcPr>
                <w:p w:rsidR="004C47D0" w:rsidRPr="00FE50E9" w:rsidRDefault="004C47D0" w:rsidP="004C47D0">
                  <w:pPr>
                    <w:tabs>
                      <w:tab w:val="left" w:pos="10440"/>
                    </w:tabs>
                    <w:adjustRightInd w:val="0"/>
                    <w:ind w:left="1260" w:right="1530"/>
                    <w:rPr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4C47D0" w:rsidRPr="00FE50E9" w:rsidRDefault="004C47D0" w:rsidP="004C47D0">
            <w:pPr>
              <w:tabs>
                <w:tab w:val="left" w:pos="10440"/>
              </w:tabs>
              <w:adjustRightInd w:val="0"/>
              <w:ind w:left="1260" w:right="1530"/>
              <w:rPr>
                <w:bCs/>
                <w:iCs/>
                <w:color w:val="000000"/>
                <w:sz w:val="22"/>
                <w:szCs w:val="22"/>
              </w:rPr>
            </w:pPr>
          </w:p>
          <w:p w:rsidR="004C47D0" w:rsidRPr="004C47D0" w:rsidRDefault="004C47D0" w:rsidP="004C47D0">
            <w:pPr>
              <w:tabs>
                <w:tab w:val="left" w:pos="10440"/>
              </w:tabs>
              <w:adjustRightInd w:val="0"/>
              <w:ind w:left="1260" w:right="1530"/>
              <w:rPr>
                <w:b/>
                <w:bCs/>
                <w:i/>
                <w:iCs/>
                <w:color w:val="000000"/>
              </w:rPr>
            </w:pPr>
          </w:p>
        </w:tc>
      </w:tr>
    </w:tbl>
    <w:p w:rsidR="004C47D0" w:rsidRDefault="004C47D0" w:rsidP="004C47D0">
      <w:pPr>
        <w:tabs>
          <w:tab w:val="left" w:pos="10440"/>
        </w:tabs>
        <w:adjustRightInd w:val="0"/>
        <w:ind w:left="1260" w:right="1530"/>
        <w:rPr>
          <w:color w:val="000000"/>
        </w:rPr>
      </w:pPr>
    </w:p>
    <w:sectPr w:rsidR="004C47D0">
      <w:headerReference w:type="default" r:id="rId16"/>
      <w:footerReference w:type="default" r:id="rId17"/>
      <w:type w:val="continuous"/>
      <w:pgSz w:w="12240" w:h="15840"/>
      <w:pgMar w:top="360" w:right="360" w:bottom="360" w:left="360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867" w:rsidRDefault="00873867">
      <w:r>
        <w:separator/>
      </w:r>
    </w:p>
  </w:endnote>
  <w:endnote w:type="continuationSeparator" w:id="0">
    <w:p w:rsidR="00873867" w:rsidRDefault="0087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35" w:rsidRDefault="001F53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D0" w:rsidRDefault="004C47D0">
    <w:pPr>
      <w:adjustRightInd w:val="0"/>
      <w:jc w:val="center"/>
      <w:rPr>
        <w:sz w:val="24"/>
        <w:szCs w:val="24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keepNext/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35" w:rsidRDefault="001F533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D0" w:rsidRDefault="004C47D0">
    <w:pPr>
      <w:adjustRightInd w:val="0"/>
      <w:jc w:val="center"/>
      <w:rPr>
        <w:sz w:val="24"/>
        <w:szCs w:val="24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This table includes all adverse events. Therefore, some subjects have &gt; 1 event. For those subjects that had the same AE over multiple days, only the highest grade was reported.</w:t>
          </w: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Symptoms reported according to AELLT medical coding</w:t>
          </w: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Values reported as n(%). % corresponds to the % of the AE total for that grade.</w:t>
          </w: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The full description of 'Other' AE's is included in this table</w:t>
          </w: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keepNext/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SAE's are not included in this table</w:t>
          </w: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Date data uploaded from CliniOps: 05FEB2018</w:t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D0" w:rsidRDefault="004C47D0">
    <w:pPr>
      <w:adjustRightInd w:val="0"/>
      <w:jc w:val="center"/>
      <w:rPr>
        <w:sz w:val="24"/>
        <w:szCs w:val="24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keepNext/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D0" w:rsidRDefault="004C47D0">
    <w:pPr>
      <w:adjustRightInd w:val="0"/>
      <w:jc w:val="center"/>
      <w:rPr>
        <w:sz w:val="24"/>
        <w:szCs w:val="24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keepNext/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867" w:rsidRDefault="00873867">
      <w:r>
        <w:separator/>
      </w:r>
    </w:p>
  </w:footnote>
  <w:footnote w:type="continuationSeparator" w:id="0">
    <w:p w:rsidR="00873867" w:rsidRDefault="00873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35" w:rsidRDefault="001F53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D0" w:rsidRDefault="004C47D0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separate"/>
    </w:r>
    <w:r w:rsidR="007D7382">
      <w:rPr>
        <w:b/>
        <w:bCs/>
        <w:noProof/>
        <w:color w:val="000000"/>
      </w:rPr>
      <w:t>4</w:t>
    </w:r>
    <w:r>
      <w:rPr>
        <w:b/>
        <w:bCs/>
        <w:color w:val="000000"/>
      </w:rPr>
      <w:fldChar w:fldCharType="end"/>
    </w: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A260E3" w:rsidP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7D7382">
            <w:rPr>
              <w:b/>
              <w:bCs/>
              <w:iCs/>
              <w:color w:val="000000"/>
              <w:sz w:val="26"/>
              <w:szCs w:val="26"/>
            </w:rPr>
            <w:t>S3 Table</w:t>
          </w:r>
          <w:r w:rsidR="004C47D0" w:rsidRPr="007D7382">
            <w:rPr>
              <w:b/>
              <w:bCs/>
              <w:iCs/>
              <w:color w:val="000000"/>
              <w:sz w:val="26"/>
              <w:szCs w:val="26"/>
            </w:rPr>
            <w:t>:</w:t>
          </w:r>
          <w:r w:rsidR="004C47D0">
            <w:rPr>
              <w:b/>
              <w:bCs/>
              <w:i/>
              <w:iCs/>
              <w:color w:val="000000"/>
              <w:sz w:val="26"/>
              <w:szCs w:val="26"/>
            </w:rPr>
            <w:t xml:space="preserve"> Adverse Events by Treatment Regimen and Symptom</w:t>
          </w: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 w:rsidP="001F5335">
          <w:pPr>
            <w:keepNext/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Drug: Double drug therapy (DEC</w:t>
          </w:r>
          <w:r w:rsidR="001F5335">
            <w:rPr>
              <w:b/>
              <w:bCs/>
              <w:i/>
              <w:iCs/>
              <w:color w:val="000000"/>
              <w:sz w:val="26"/>
              <w:szCs w:val="26"/>
            </w:rPr>
            <w:t>, ALB</w:t>
          </w:r>
          <w:r>
            <w:rPr>
              <w:b/>
              <w:bCs/>
              <w:i/>
              <w:iCs/>
              <w:color w:val="000000"/>
              <w:sz w:val="26"/>
              <w:szCs w:val="26"/>
            </w:rPr>
            <w:t>)</w:t>
          </w: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</w:tbl>
  <w:p w:rsidR="004C47D0" w:rsidRDefault="004C47D0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35" w:rsidRDefault="001F533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D0" w:rsidRDefault="004C47D0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D0" w:rsidRDefault="004C47D0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separate"/>
    </w:r>
    <w:r w:rsidR="007D7382">
      <w:rPr>
        <w:b/>
        <w:bCs/>
        <w:noProof/>
        <w:color w:val="000000"/>
      </w:rPr>
      <w:t>5</w:t>
    </w:r>
    <w:r>
      <w:rPr>
        <w:b/>
        <w:bCs/>
        <w:color w:val="000000"/>
      </w:rPr>
      <w:fldChar w:fldCharType="end"/>
    </w: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7D7382" w:rsidP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bookmarkStart w:id="3" w:name="_GoBack"/>
          <w:r w:rsidRPr="007D7382">
            <w:rPr>
              <w:b/>
              <w:bCs/>
              <w:iCs/>
              <w:color w:val="000000"/>
              <w:sz w:val="26"/>
              <w:szCs w:val="26"/>
            </w:rPr>
            <w:t>S3 Table</w:t>
          </w:r>
          <w:r w:rsidR="004C47D0" w:rsidRPr="007D7382">
            <w:rPr>
              <w:b/>
              <w:bCs/>
              <w:iCs/>
              <w:color w:val="000000"/>
              <w:sz w:val="26"/>
              <w:szCs w:val="26"/>
            </w:rPr>
            <w:t>:</w:t>
          </w:r>
          <w:bookmarkEnd w:id="3"/>
          <w:r w:rsidR="004C47D0">
            <w:rPr>
              <w:b/>
              <w:bCs/>
              <w:i/>
              <w:iCs/>
              <w:color w:val="000000"/>
              <w:sz w:val="26"/>
              <w:szCs w:val="26"/>
            </w:rPr>
            <w:t xml:space="preserve"> Adverse Events by Drug and Symptom</w:t>
          </w: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 w:rsidP="001F5335">
          <w:pPr>
            <w:keepNext/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Triple drug therapy (</w:t>
          </w:r>
          <w:r w:rsidR="001F5335">
            <w:rPr>
              <w:b/>
              <w:bCs/>
              <w:i/>
              <w:iCs/>
              <w:color w:val="000000"/>
              <w:sz w:val="26"/>
              <w:szCs w:val="26"/>
            </w:rPr>
            <w:t>IVM, DEC, ALB</w:t>
          </w:r>
          <w:r>
            <w:rPr>
              <w:b/>
              <w:bCs/>
              <w:i/>
              <w:iCs/>
              <w:color w:val="000000"/>
              <w:sz w:val="26"/>
              <w:szCs w:val="26"/>
            </w:rPr>
            <w:t>)</w:t>
          </w:r>
        </w:p>
      </w:tc>
    </w:tr>
    <w:tr w:rsidR="004C47D0">
      <w:trPr>
        <w:cantSplit/>
        <w:jc w:val="center"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4C47D0" w:rsidRDefault="004C47D0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</w:p>
      </w:tc>
    </w:tr>
  </w:tbl>
  <w:p w:rsidR="004C47D0" w:rsidRDefault="004C47D0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D0" w:rsidRDefault="004C47D0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separate"/>
    </w:r>
    <w:r w:rsidR="007D7382">
      <w:rPr>
        <w:b/>
        <w:bCs/>
        <w:noProof/>
        <w:color w:val="000000"/>
      </w:rPr>
      <w:t>9</w:t>
    </w:r>
    <w:r>
      <w:rPr>
        <w:b/>
        <w:bCs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98"/>
    <w:rsid w:val="001F5335"/>
    <w:rsid w:val="0022574D"/>
    <w:rsid w:val="003147EA"/>
    <w:rsid w:val="003C543F"/>
    <w:rsid w:val="00437898"/>
    <w:rsid w:val="004C47D0"/>
    <w:rsid w:val="004F0A02"/>
    <w:rsid w:val="00676B44"/>
    <w:rsid w:val="00693DD9"/>
    <w:rsid w:val="007D7382"/>
    <w:rsid w:val="00873867"/>
    <w:rsid w:val="00A260E3"/>
    <w:rsid w:val="00D44998"/>
    <w:rsid w:val="00E97051"/>
    <w:rsid w:val="00EA7005"/>
    <w:rsid w:val="00EE642B"/>
    <w:rsid w:val="00FE50E9"/>
    <w:rsid w:val="00FF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AC56BB"/>
  <w14:defaultImageDpi w14:val="0"/>
  <w15:docId w15:val="{7E3967AF-4E96-4CF7-99F1-D2CC615E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B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B44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76B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B4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Version 9.4 SAS System Output</vt:lpstr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9.4 SAS System Output</dc:title>
  <dc:subject/>
  <dc:creator>SAS Version 9.4</dc:creator>
  <cp:keywords/>
  <dc:description/>
  <cp:lastModifiedBy>Weil, Gary</cp:lastModifiedBy>
  <cp:revision>2</cp:revision>
  <dcterms:created xsi:type="dcterms:W3CDTF">2019-05-08T21:09:00Z</dcterms:created>
  <dcterms:modified xsi:type="dcterms:W3CDTF">2019-05-08T21:09:00Z</dcterms:modified>
</cp:coreProperties>
</file>