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094" w:rsidRPr="00F71496" w:rsidRDefault="00963094" w:rsidP="00963094">
      <w:pPr>
        <w:spacing w:after="0" w:line="480" w:lineRule="auto"/>
        <w:rPr>
          <w:rFonts w:ascii="Arial" w:eastAsia="Times New Roman" w:hAnsi="Arial" w:cs="Arial"/>
          <w:b/>
        </w:rPr>
      </w:pPr>
      <w:bookmarkStart w:id="0" w:name="_GoBack"/>
      <w:bookmarkEnd w:id="0"/>
      <w:r w:rsidRPr="00F71496">
        <w:rPr>
          <w:rFonts w:ascii="Arial" w:eastAsia="Times New Roman" w:hAnsi="Arial" w:cs="Arial"/>
          <w:b/>
        </w:rPr>
        <w:t>S</w:t>
      </w:r>
      <w:r w:rsidR="00072658">
        <w:rPr>
          <w:rFonts w:ascii="Arial" w:eastAsia="Times New Roman" w:hAnsi="Arial" w:cs="Arial"/>
          <w:b/>
        </w:rPr>
        <w:t>8</w:t>
      </w:r>
      <w:r w:rsidRPr="00963094">
        <w:rPr>
          <w:rFonts w:ascii="Arial" w:eastAsia="Times New Roman" w:hAnsi="Arial" w:cs="Arial"/>
          <w:b/>
        </w:rPr>
        <w:t xml:space="preserve"> Table</w:t>
      </w:r>
      <w:r w:rsidRPr="00F71496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F71496">
        <w:rPr>
          <w:rFonts w:ascii="Arial" w:eastAsia="Times New Roman" w:hAnsi="Arial" w:cs="Arial"/>
          <w:b/>
        </w:rPr>
        <w:t>Power</w:t>
      </w:r>
      <w:r w:rsidRPr="00F71496">
        <w:rPr>
          <w:rFonts w:ascii="Arial" w:eastAsia="Times New Roman" w:hAnsi="Arial" w:cs="Arial"/>
          <w:b/>
          <w:vertAlign w:val="superscript"/>
        </w:rPr>
        <w:t>a</w:t>
      </w:r>
      <w:proofErr w:type="spellEnd"/>
      <w:r w:rsidRPr="00F71496">
        <w:rPr>
          <w:rFonts w:ascii="Arial" w:eastAsia="Times New Roman" w:hAnsi="Arial" w:cs="Arial"/>
          <w:b/>
        </w:rPr>
        <w:t xml:space="preserve"> to Detect SNP Odds Ratios, Six Month Abstinence.</w:t>
      </w:r>
      <w:proofErr w:type="gramEnd"/>
    </w:p>
    <w:p w:rsidR="00963094" w:rsidRPr="00F71496" w:rsidRDefault="00963094" w:rsidP="00963094">
      <w:pPr>
        <w:spacing w:after="0" w:line="480" w:lineRule="auto"/>
        <w:rPr>
          <w:rFonts w:ascii="Arial" w:eastAsia="Times New Roman" w:hAnsi="Arial" w:cs="Arial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2"/>
        <w:gridCol w:w="1667"/>
        <w:gridCol w:w="1549"/>
        <w:gridCol w:w="1549"/>
        <w:gridCol w:w="1549"/>
        <w:gridCol w:w="1550"/>
      </w:tblGrid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SNP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F71496">
              <w:rPr>
                <w:rFonts w:ascii="Arial" w:hAnsi="Arial" w:cs="Arial"/>
              </w:rPr>
              <w:t>MAF</w:t>
            </w:r>
            <w:r w:rsidRPr="00F71496">
              <w:rPr>
                <w:rFonts w:ascii="Arial" w:hAnsi="Arial" w:cs="Arial"/>
                <w:vertAlign w:val="superscript"/>
              </w:rPr>
              <w:t>b</w:t>
            </w:r>
            <w:proofErr w:type="spellEnd"/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1.05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1.10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1.20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1.40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rs1884725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0.198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0.0989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0.2450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0.6871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0.9960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rs2306283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0.404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0.1242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0.3404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0.8429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0.9998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rs17329885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0.190</w:t>
            </w:r>
            <w:r w:rsidRPr="00F71496"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0.0974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0.2390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0.6741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0.9947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rs2297322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0.103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0.0783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0.1630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0.4688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0.9437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rs1805041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0.232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0.1049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0.2684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0.7343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0.9979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rs1805042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0.359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0.1210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0.3288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0.8289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0.9997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rs1137115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0.214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0.1018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0.2564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0.7109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0.9969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rs4803381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0.367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0.1213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71496">
              <w:rPr>
                <w:rFonts w:ascii="Arial" w:hAnsi="Arial" w:cs="Arial"/>
              </w:rPr>
              <w:t>0.3298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71496">
              <w:rPr>
                <w:rFonts w:ascii="Arial" w:hAnsi="Arial" w:cs="Arial"/>
              </w:rPr>
              <w:t>0.8301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71496">
              <w:rPr>
                <w:rFonts w:ascii="Arial" w:hAnsi="Arial" w:cs="Arial"/>
              </w:rPr>
              <w:t>0.9997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rs2835272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0.106</w:t>
            </w:r>
            <w:r w:rsidRPr="00F71496"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0.0790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0.1659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0.4782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0.9484</w:t>
            </w:r>
          </w:p>
        </w:tc>
      </w:tr>
      <w:tr w:rsidR="00963094" w:rsidRPr="00F71496" w:rsidTr="004335BE">
        <w:trPr>
          <w:trHeight w:val="288"/>
        </w:trPr>
        <w:tc>
          <w:tcPr>
            <w:tcW w:w="1712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rs28371725</w:t>
            </w:r>
          </w:p>
        </w:tc>
        <w:tc>
          <w:tcPr>
            <w:tcW w:w="1667" w:type="dxa"/>
            <w:vAlign w:val="center"/>
          </w:tcPr>
          <w:p w:rsidR="00963094" w:rsidRPr="00F71496" w:rsidRDefault="00963094" w:rsidP="004335BE">
            <w:pPr>
              <w:spacing w:line="480" w:lineRule="auto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0.094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0.0761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0.1540</w:t>
            </w:r>
          </w:p>
        </w:tc>
        <w:tc>
          <w:tcPr>
            <w:tcW w:w="1549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0.2803</w:t>
            </w:r>
          </w:p>
        </w:tc>
        <w:tc>
          <w:tcPr>
            <w:tcW w:w="1550" w:type="dxa"/>
            <w:vAlign w:val="center"/>
          </w:tcPr>
          <w:p w:rsidR="00963094" w:rsidRPr="00F71496" w:rsidRDefault="00963094" w:rsidP="004335B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F71496">
              <w:rPr>
                <w:rFonts w:ascii="Arial" w:hAnsi="Arial" w:cs="Arial"/>
              </w:rPr>
              <w:t>0.9265</w:t>
            </w:r>
          </w:p>
        </w:tc>
      </w:tr>
    </w:tbl>
    <w:p w:rsidR="00963094" w:rsidRDefault="00963094" w:rsidP="00B84857">
      <w:pPr>
        <w:spacing w:after="0" w:line="480" w:lineRule="auto"/>
        <w:rPr>
          <w:rFonts w:ascii="Arial" w:eastAsia="Times New Roman" w:hAnsi="Arial" w:cs="Arial"/>
        </w:rPr>
      </w:pPr>
      <w:proofErr w:type="spellStart"/>
      <w:r w:rsidRPr="00F71496">
        <w:rPr>
          <w:rFonts w:ascii="Arial" w:eastAsia="Times New Roman" w:hAnsi="Arial" w:cs="Arial"/>
          <w:vertAlign w:val="superscript"/>
        </w:rPr>
        <w:t>a</w:t>
      </w:r>
      <w:r w:rsidRPr="00F71496">
        <w:rPr>
          <w:rFonts w:ascii="Arial" w:eastAsia="Times New Roman" w:hAnsi="Arial" w:cs="Arial"/>
        </w:rPr>
        <w:t>Using</w:t>
      </w:r>
      <w:proofErr w:type="spellEnd"/>
      <w:r w:rsidRPr="00F71496">
        <w:rPr>
          <w:rFonts w:ascii="Arial" w:eastAsia="Times New Roman" w:hAnsi="Arial" w:cs="Arial"/>
        </w:rPr>
        <w:t>: SNP minor allele frequencies from PKTWIN and SMOFAM</w:t>
      </w:r>
      <w:r w:rsidR="00B84857">
        <w:rPr>
          <w:rFonts w:ascii="Arial" w:eastAsia="Times New Roman" w:hAnsi="Arial" w:cs="Arial"/>
        </w:rPr>
        <w:t xml:space="preserve"> data</w:t>
      </w:r>
      <w:r w:rsidRPr="00F71496">
        <w:rPr>
          <w:rFonts w:ascii="Arial" w:eastAsia="Times New Roman" w:hAnsi="Arial" w:cs="Arial"/>
        </w:rPr>
        <w:t xml:space="preserve">, or from Utah residents with ancestry from northern and western Europe (CEU) </w:t>
      </w:r>
      <w:r w:rsidRPr="00F71496">
        <w:rPr>
          <w:rFonts w:ascii="Arial" w:eastAsia="Times New Roman" w:hAnsi="Arial" w:cs="Arial"/>
        </w:rPr>
        <w:fldChar w:fldCharType="begin"/>
      </w:r>
      <w:r w:rsidR="00B84857">
        <w:rPr>
          <w:rFonts w:ascii="Arial" w:eastAsia="Times New Roman" w:hAnsi="Arial" w:cs="Arial"/>
        </w:rPr>
        <w:instrText xml:space="preserve"> ADDIN EN.CITE &lt;EndNote&gt;&lt;Cite&gt;&lt;Author&gt;Coordinators&lt;/Author&gt;&lt;Year&gt;2014&lt;/Year&gt;&lt;RecNum&gt;1172&lt;/RecNum&gt;&lt;DisplayText&gt;[1]&lt;/DisplayText&gt;&lt;record&gt;&lt;rec-number&gt;1172&lt;/rec-number&gt;&lt;foreign-keys&gt;&lt;key app="EN" db-id="t5t0vraw8r0wr7e9rr6pdt08svf00wvxffww"&gt;1172&lt;/key&gt;&lt;/foreign-keys&gt;&lt;ref-type name="Journal Article"&gt;17&lt;/ref-type&gt;&lt;contributors&gt;&lt;authors&gt;&lt;author&gt;Ncbi Resource Coordinators&lt;/author&gt;&lt;/authors&gt;&lt;/contributors&gt;&lt;titles&gt;&lt;title&gt;Database resources of the National Center for Biotechnology Information&lt;/title&gt;&lt;secondary-title&gt;Nucleic Acids Res&lt;/secondary-title&gt;&lt;alt-title&gt;Nucleic acids research&lt;/alt-title&gt;&lt;/titles&gt;&lt;periodical&gt;&lt;full-title&gt;Nucleic Acids Res&lt;/full-title&gt;&lt;/periodical&gt;&lt;pages&gt;D7-17&lt;/pages&gt;&lt;volume&gt;42&lt;/volume&gt;&lt;number&gt;Database issue&lt;/number&gt;&lt;edition&gt;2013/11/22&lt;/edition&gt;&lt;keywords&gt;&lt;keyword&gt;Databases, Genetic&lt;/keyword&gt;&lt;keyword&gt;Databases, Nucleic Acid&lt;/keyword&gt;&lt;keyword&gt;Disease/genetics&lt;/keyword&gt;&lt;keyword&gt;Genetic Variation&lt;/keyword&gt;&lt;keyword&gt;Genome&lt;/keyword&gt;&lt;keyword&gt;Humans&lt;/keyword&gt;&lt;keyword&gt;Internet&lt;/keyword&gt;&lt;keyword&gt;National Library of Medicine (U.S.)&lt;/keyword&gt;&lt;keyword&gt;Phenotype&lt;/keyword&gt;&lt;keyword&gt;PubMed&lt;/keyword&gt;&lt;keyword&gt;Sequence Alignment&lt;/keyword&gt;&lt;keyword&gt;United States&lt;/keyword&gt;&lt;/keywords&gt;&lt;dates&gt;&lt;year&gt;2014&lt;/year&gt;&lt;pub-dates&gt;&lt;date&gt;Jan&lt;/date&gt;&lt;/pub-dates&gt;&lt;/dates&gt;&lt;isbn&gt;1362-4962 (Electronic)&amp;#xD;0305-1048 (Linking)&lt;/isbn&gt;&lt;accession-num&gt;24259429&lt;/accession-num&gt;&lt;urls&gt;&lt;/urls&gt;&lt;custom2&gt;3965057&lt;/custom2&gt;&lt;electronic-resource-num&gt;10.1093/nar/gkt1146&lt;/electronic-resource-num&gt;&lt;remote-database-provider&gt;NLM&lt;/remote-database-provider&gt;&lt;language&gt;eng&lt;/language&gt;&lt;/record&gt;&lt;/Cite&gt;&lt;/EndNote&gt;</w:instrText>
      </w:r>
      <w:r w:rsidRPr="00F71496">
        <w:rPr>
          <w:rFonts w:ascii="Arial" w:eastAsia="Times New Roman" w:hAnsi="Arial" w:cs="Arial"/>
        </w:rPr>
        <w:fldChar w:fldCharType="separate"/>
      </w:r>
      <w:r w:rsidR="00B84857">
        <w:rPr>
          <w:rFonts w:ascii="Arial" w:eastAsia="Times New Roman" w:hAnsi="Arial" w:cs="Arial"/>
          <w:noProof/>
        </w:rPr>
        <w:t>[</w:t>
      </w:r>
      <w:hyperlink w:anchor="_ENREF_1" w:tooltip="Coordinators, 2014 #1172" w:history="1">
        <w:r w:rsidR="00B84857">
          <w:rPr>
            <w:rFonts w:ascii="Arial" w:eastAsia="Times New Roman" w:hAnsi="Arial" w:cs="Arial"/>
            <w:noProof/>
          </w:rPr>
          <w:t>1</w:t>
        </w:r>
      </w:hyperlink>
      <w:r w:rsidR="00B84857">
        <w:rPr>
          <w:rFonts w:ascii="Arial" w:eastAsia="Times New Roman" w:hAnsi="Arial" w:cs="Arial"/>
          <w:noProof/>
        </w:rPr>
        <w:t>]</w:t>
      </w:r>
      <w:r w:rsidRPr="00F71496">
        <w:rPr>
          <w:rFonts w:ascii="Arial" w:eastAsia="Times New Roman" w:hAnsi="Arial" w:cs="Arial"/>
        </w:rPr>
        <w:fldChar w:fldCharType="end"/>
      </w:r>
      <w:r w:rsidRPr="00F71496">
        <w:rPr>
          <w:rFonts w:ascii="Arial" w:eastAsia="Times New Roman" w:hAnsi="Arial" w:cs="Arial"/>
        </w:rPr>
        <w:t xml:space="preserve">; an additive model; the intent-to-treat six month abstinent and relapsed participant counts from eight clinical trials to define the </w:t>
      </w:r>
      <w:proofErr w:type="spellStart"/>
      <w:r w:rsidRPr="00F71496">
        <w:rPr>
          <w:rFonts w:ascii="Arial" w:eastAsia="Times New Roman" w:hAnsi="Arial" w:cs="Arial"/>
        </w:rPr>
        <w:t>case:control</w:t>
      </w:r>
      <w:proofErr w:type="spellEnd"/>
      <w:r w:rsidRPr="00F71496">
        <w:rPr>
          <w:rFonts w:ascii="Arial" w:eastAsia="Times New Roman" w:hAnsi="Arial" w:cs="Arial"/>
        </w:rPr>
        <w:t xml:space="preserve"> ratio (1:2.12); the mean six month abstinence rate from eighty placebo arms (13.8%) to define baseline abstinence rates </w:t>
      </w:r>
      <w:r w:rsidRPr="00F71496">
        <w:rPr>
          <w:rFonts w:ascii="Arial" w:eastAsia="Times New Roman" w:hAnsi="Arial" w:cs="Arial"/>
        </w:rPr>
        <w:fldChar w:fldCharType="begin">
          <w:fldData xml:space="preserve">PEVuZE5vdGU+PENpdGU+PEF1dGhvcj5DbGluaWNhbCBQcmFjdGljZSBHdWlkZWxpbmUgVHJlYXRp
bmcgVG9iYWNjbzwvQXV0aG9yPjxZZWFyPjIwMDg8L1llYXI+PFJlY051bT4xMTE4PC9SZWNOdW0+
PERpc3BsYXlUZXh0PlsyXTwvRGlzcGxheVRleHQ+PHJlY29yZD48cmVjLW51bWJlcj4xMTE4PC9y
ZWMtbnVtYmVyPjxmb3JlaWduLWtleXM+PGtleSBhcHA9IkVOIiBkYi1pZD0idDV0MHZyYXc4cjB3
cjdlOXJyNnBkdDA4c3ZmMDB3dnhmZnd3Ij4xMTE4PC9rZXk+PC9mb3JlaWduLWtleXM+PHJlZi10
eXBlIG5hbWU9IkpvdXJuYWwgQXJ0aWNsZSI+MTc8L3JlZi10eXBlPjxjb250cmlidXRvcnM+PGF1
dGhvcnM+PGF1dGhvcj5DbGluaWNhbCBQcmFjdGljZSBHdWlkZWxpbmUgVHJlYXRpbmcgVG9iYWNj
bywgVXNlPC9hdXRob3I+PGF1dGhvcj5EZXBlbmRlbmNlIFVwZGF0ZSBQYW5lbCwgTGlhaXNvbnM8
L2F1dGhvcj48YXV0aG9yPlN0YWZmLDwvYXV0aG9yPjwvYXV0aG9ycz48L2NvbnRyaWJ1dG9ycz48
dGl0bGVzPjx0aXRsZT5BIGNsaW5pY2FsIHByYWN0aWNlIGd1aWRlbGluZSBmb3IgdHJlYXRpbmcg
dG9iYWNjbyB1c2UgYW5kIGRlcGVuZGVuY2U6IDIwMDggdXBkYXRlLiBBIFUuUy4gUHVibGljIEhl
YWx0aCBTZXJ2aWNlIHJlcG9ydDwvdGl0bGU+PHNlY29uZGFyeS10aXRsZT5BbSBKIFByZXYgTWVk
PC9zZWNvbmRhcnktdGl0bGU+PGFsdC10aXRsZT5BbWVyaWNhbiBqb3VybmFsIG9mIHByZXZlbnRp
dmUgbWVkaWNpbmU8L2FsdC10aXRsZT48L3RpdGxlcz48cGVyaW9kaWNhbD48ZnVsbC10aXRsZT5B
bSBKIFByZXYgTWVkPC9mdWxsLXRpdGxlPjxhYmJyLTE+QW1lcmljYW4gam91cm5hbCBvZiBwcmV2
ZW50aXZlIG1lZGljaW5lPC9hYmJyLTE+PC9wZXJpb2RpY2FsPjxhbHQtcGVyaW9kaWNhbD48ZnVs
bC10aXRsZT5BbSBKIFByZXYgTWVkPC9mdWxsLXRpdGxlPjxhYmJyLTE+QW1lcmljYW4gam91cm5h
bCBvZiBwcmV2ZW50aXZlIG1lZGljaW5lPC9hYmJyLTE+PC9hbHQtcGVyaW9kaWNhbD48cGFnZXM+
MTU4LTc2PC9wYWdlcz48dm9sdW1lPjM1PC92b2x1bWU+PG51bWJlcj4yPC9udW1iZXI+PGVkaXRp
b24+MjAwOC8wNy8xMjwvZWRpdGlvbj48a2V5d29yZHM+PGtleXdvcmQ+Q291bnNlbGluZy8gbWV0
aG9kczwva2V5d29yZD48a2V5d29yZD5IdW1hbnM8L2tleXdvcmQ+PGtleXdvcmQ+TWV0YS1BbmFs
eXNpcyBhcyBUb3BpYzwva2V5d29yZD48a2V5d29yZD5Nb3RpdmF0aW9uPC9rZXl3b3JkPjxrZXl3
b3JkPk5pY290aW5lL2FkbWluaXN0cmF0aW9uICZhbXA7IGRvc2FnZS9hZHZlcnNlIGVmZmVjdHMv
IHRoZXJhcGV1dGljIHVzZTwva2V5d29yZD48a2V5d29yZD5QcmFjdGljZSBHdWlkZWxpbmVzIGFz
IFRvcGljPC9rZXl3b3JkPjxrZXl3b3JkPlNtb2tpbmcgQ2Vzc2F0aW9uLyBtZXRob2RzL3BzeWNo
b2xvZ3k8L2tleXdvcmQ+PGtleXdvcmQ+VG9iYWNjbyBVc2UgRGlzb3JkZXIvZXBpZGVtaW9sb2d5
L3ByZXZlbnRpb24gJmFtcDsgY29udHJvbC8gdGhlcmFweTwva2V5d29yZD48a2V5d29yZD5Vbml0
ZWQgU3RhdGVzL2VwaWRlbWlvbG9neTwva2V5d29yZD48a2V5d29yZD5Vbml0ZWQgU3RhdGVzIEFn
ZW5jeSBmb3IgSGVhbHRoY2FyZSBSZXNlYXJjaCBhbmQgUXVhbGl0eTwva2V5d29yZD48a2V5d29y
ZD5Vbml0ZWQgU3RhdGVzIFB1YmxpYyBIZWFsdGggU2VydmljZTwva2V5d29yZD48L2tleXdvcmRz
PjxkYXRlcz48eWVhcj4yMDA4PC95ZWFyPjxwdWItZGF0ZXM+PGRhdGU+QXVnPC9kYXRlPjwvcHVi
LWRhdGVzPjwvZGF0ZXM+PGlzYm4+MDc0OS0zNzk3IChQcmludCkmI3hEOzA3NDktMzc5NyAoTGlu
a2luZyk8L2lzYm4+PGFjY2Vzc2lvbi1udW0+MTg2MTcwODU8L2FjY2Vzc2lvbi1udW0+PHVybHM+
PC91cmxzPjxlbGVjdHJvbmljLXJlc291cmNlLW51bT4xMC4xMDE2L2ouYW1lcHJlLjIwMDguMDQu
MDA5PC9lbGVjdHJvbmljLXJlc291cmNlLW51bT48cmVtb3RlLWRhdGFiYXNlLXByb3ZpZGVyPk5M
TTwvcmVtb3RlLWRhdGFiYXNlLXByb3ZpZGVyPjxsYW5ndWFnZT5lbmc8L2xhbmd1YWdlPjwvcmVj
b3JkPjwvQ2l0ZT48L0VuZE5vdGU+AG==
</w:fldData>
        </w:fldChar>
      </w:r>
      <w:r w:rsidR="00B84857">
        <w:rPr>
          <w:rFonts w:ascii="Arial" w:eastAsia="Times New Roman" w:hAnsi="Arial" w:cs="Arial"/>
        </w:rPr>
        <w:instrText xml:space="preserve"> ADDIN EN.CITE </w:instrText>
      </w:r>
      <w:r w:rsidR="00B84857">
        <w:rPr>
          <w:rFonts w:ascii="Arial" w:eastAsia="Times New Roman" w:hAnsi="Arial" w:cs="Arial"/>
        </w:rPr>
        <w:fldChar w:fldCharType="begin">
          <w:fldData xml:space="preserve">PEVuZE5vdGU+PENpdGU+PEF1dGhvcj5DbGluaWNhbCBQcmFjdGljZSBHdWlkZWxpbmUgVHJlYXRp
bmcgVG9iYWNjbzwvQXV0aG9yPjxZZWFyPjIwMDg8L1llYXI+PFJlY051bT4xMTE4PC9SZWNOdW0+
PERpc3BsYXlUZXh0PlsyXTwvRGlzcGxheVRleHQ+PHJlY29yZD48cmVjLW51bWJlcj4xMTE4PC9y
ZWMtbnVtYmVyPjxmb3JlaWduLWtleXM+PGtleSBhcHA9IkVOIiBkYi1pZD0idDV0MHZyYXc4cjB3
cjdlOXJyNnBkdDA4c3ZmMDB3dnhmZnd3Ij4xMTE4PC9rZXk+PC9mb3JlaWduLWtleXM+PHJlZi10
eXBlIG5hbWU9IkpvdXJuYWwgQXJ0aWNsZSI+MTc8L3JlZi10eXBlPjxjb250cmlidXRvcnM+PGF1
dGhvcnM+PGF1dGhvcj5DbGluaWNhbCBQcmFjdGljZSBHdWlkZWxpbmUgVHJlYXRpbmcgVG9iYWNj
bywgVXNlPC9hdXRob3I+PGF1dGhvcj5EZXBlbmRlbmNlIFVwZGF0ZSBQYW5lbCwgTGlhaXNvbnM8
L2F1dGhvcj48YXV0aG9yPlN0YWZmLDwvYXV0aG9yPjwvYXV0aG9ycz48L2NvbnRyaWJ1dG9ycz48
dGl0bGVzPjx0aXRsZT5BIGNsaW5pY2FsIHByYWN0aWNlIGd1aWRlbGluZSBmb3IgdHJlYXRpbmcg
dG9iYWNjbyB1c2UgYW5kIGRlcGVuZGVuY2U6IDIwMDggdXBkYXRlLiBBIFUuUy4gUHVibGljIEhl
YWx0aCBTZXJ2aWNlIHJlcG9ydDwvdGl0bGU+PHNlY29uZGFyeS10aXRsZT5BbSBKIFByZXYgTWVk
PC9zZWNvbmRhcnktdGl0bGU+PGFsdC10aXRsZT5BbWVyaWNhbiBqb3VybmFsIG9mIHByZXZlbnRp
dmUgbWVkaWNpbmU8L2FsdC10aXRsZT48L3RpdGxlcz48cGVyaW9kaWNhbD48ZnVsbC10aXRsZT5B
bSBKIFByZXYgTWVkPC9mdWxsLXRpdGxlPjxhYmJyLTE+QW1lcmljYW4gam91cm5hbCBvZiBwcmV2
ZW50aXZlIG1lZGljaW5lPC9hYmJyLTE+PC9wZXJpb2RpY2FsPjxhbHQtcGVyaW9kaWNhbD48ZnVs
bC10aXRsZT5BbSBKIFByZXYgTWVkPC9mdWxsLXRpdGxlPjxhYmJyLTE+QW1lcmljYW4gam91cm5h
bCBvZiBwcmV2ZW50aXZlIG1lZGljaW5lPC9hYmJyLTE+PC9hbHQtcGVyaW9kaWNhbD48cGFnZXM+
MTU4LTc2PC9wYWdlcz48dm9sdW1lPjM1PC92b2x1bWU+PG51bWJlcj4yPC9udW1iZXI+PGVkaXRp
b24+MjAwOC8wNy8xMjwvZWRpdGlvbj48a2V5d29yZHM+PGtleXdvcmQ+Q291bnNlbGluZy8gbWV0
aG9kczwva2V5d29yZD48a2V5d29yZD5IdW1hbnM8L2tleXdvcmQ+PGtleXdvcmQ+TWV0YS1BbmFs
eXNpcyBhcyBUb3BpYzwva2V5d29yZD48a2V5d29yZD5Nb3RpdmF0aW9uPC9rZXl3b3JkPjxrZXl3
b3JkPk5pY290aW5lL2FkbWluaXN0cmF0aW9uICZhbXA7IGRvc2FnZS9hZHZlcnNlIGVmZmVjdHMv
IHRoZXJhcGV1dGljIHVzZTwva2V5d29yZD48a2V5d29yZD5QcmFjdGljZSBHdWlkZWxpbmVzIGFz
IFRvcGljPC9rZXl3b3JkPjxrZXl3b3JkPlNtb2tpbmcgQ2Vzc2F0aW9uLyBtZXRob2RzL3BzeWNo
b2xvZ3k8L2tleXdvcmQ+PGtleXdvcmQ+VG9iYWNjbyBVc2UgRGlzb3JkZXIvZXBpZGVtaW9sb2d5
L3ByZXZlbnRpb24gJmFtcDsgY29udHJvbC8gdGhlcmFweTwva2V5d29yZD48a2V5d29yZD5Vbml0
ZWQgU3RhdGVzL2VwaWRlbWlvbG9neTwva2V5d29yZD48a2V5d29yZD5Vbml0ZWQgU3RhdGVzIEFn
ZW5jeSBmb3IgSGVhbHRoY2FyZSBSZXNlYXJjaCBhbmQgUXVhbGl0eTwva2V5d29yZD48a2V5d29y
ZD5Vbml0ZWQgU3RhdGVzIFB1YmxpYyBIZWFsdGggU2VydmljZTwva2V5d29yZD48L2tleXdvcmRz
PjxkYXRlcz48eWVhcj4yMDA4PC95ZWFyPjxwdWItZGF0ZXM+PGRhdGU+QXVnPC9kYXRlPjwvcHVi
LWRhdGVzPjwvZGF0ZXM+PGlzYm4+MDc0OS0zNzk3IChQcmludCkmI3hEOzA3NDktMzc5NyAoTGlu
a2luZyk8L2lzYm4+PGFjY2Vzc2lvbi1udW0+MTg2MTcwODU8L2FjY2Vzc2lvbi1udW0+PHVybHM+
PC91cmxzPjxlbGVjdHJvbmljLXJlc291cmNlLW51bT4xMC4xMDE2L2ouYW1lcHJlLjIwMDguMDQu
MDA5PC9lbGVjdHJvbmljLXJlc291cmNlLW51bT48cmVtb3RlLWRhdGFiYXNlLXByb3ZpZGVyPk5M
TTwvcmVtb3RlLWRhdGFiYXNlLXByb3ZpZGVyPjxsYW5ndWFnZT5lbmc8L2xhbmd1YWdlPjwvcmVj
b3JkPjwvQ2l0ZT48L0VuZE5vdGU+AG==
</w:fldData>
        </w:fldChar>
      </w:r>
      <w:r w:rsidR="00B84857">
        <w:rPr>
          <w:rFonts w:ascii="Arial" w:eastAsia="Times New Roman" w:hAnsi="Arial" w:cs="Arial"/>
        </w:rPr>
        <w:instrText xml:space="preserve"> ADDIN EN.CITE.DATA </w:instrText>
      </w:r>
      <w:r w:rsidR="00B84857">
        <w:rPr>
          <w:rFonts w:ascii="Arial" w:eastAsia="Times New Roman" w:hAnsi="Arial" w:cs="Arial"/>
        </w:rPr>
      </w:r>
      <w:r w:rsidR="00B84857">
        <w:rPr>
          <w:rFonts w:ascii="Arial" w:eastAsia="Times New Roman" w:hAnsi="Arial" w:cs="Arial"/>
        </w:rPr>
        <w:fldChar w:fldCharType="end"/>
      </w:r>
      <w:r w:rsidRPr="00F71496">
        <w:rPr>
          <w:rFonts w:ascii="Arial" w:eastAsia="Times New Roman" w:hAnsi="Arial" w:cs="Arial"/>
        </w:rPr>
      </w:r>
      <w:r w:rsidRPr="00F71496">
        <w:rPr>
          <w:rFonts w:ascii="Arial" w:eastAsia="Times New Roman" w:hAnsi="Arial" w:cs="Arial"/>
        </w:rPr>
        <w:fldChar w:fldCharType="separate"/>
      </w:r>
      <w:r w:rsidR="00B84857">
        <w:rPr>
          <w:rFonts w:ascii="Arial" w:eastAsia="Times New Roman" w:hAnsi="Arial" w:cs="Arial"/>
          <w:noProof/>
        </w:rPr>
        <w:t>[</w:t>
      </w:r>
      <w:hyperlink w:anchor="_ENREF_2" w:tooltip="Clinical Practice Guideline Treating Tobacco, 2008 #1118" w:history="1">
        <w:r w:rsidR="00B84857">
          <w:rPr>
            <w:rFonts w:ascii="Arial" w:eastAsia="Times New Roman" w:hAnsi="Arial" w:cs="Arial"/>
            <w:noProof/>
          </w:rPr>
          <w:t>2</w:t>
        </w:r>
      </w:hyperlink>
      <w:r w:rsidR="00B84857">
        <w:rPr>
          <w:rFonts w:ascii="Arial" w:eastAsia="Times New Roman" w:hAnsi="Arial" w:cs="Arial"/>
          <w:noProof/>
        </w:rPr>
        <w:t>]</w:t>
      </w:r>
      <w:r w:rsidRPr="00F71496">
        <w:rPr>
          <w:rFonts w:ascii="Arial" w:eastAsia="Times New Roman" w:hAnsi="Arial" w:cs="Arial"/>
        </w:rPr>
        <w:fldChar w:fldCharType="end"/>
      </w:r>
      <w:r w:rsidRPr="00F71496">
        <w:rPr>
          <w:rFonts w:ascii="Arial" w:eastAsia="Times New Roman" w:hAnsi="Arial" w:cs="Arial"/>
        </w:rPr>
        <w:t xml:space="preserve">; the clinical trial sample size tested with the individual DMET SNP; and a two sided test. </w:t>
      </w:r>
      <w:proofErr w:type="spellStart"/>
      <w:r w:rsidRPr="00F71496">
        <w:rPr>
          <w:rFonts w:ascii="Arial" w:eastAsia="Times New Roman" w:hAnsi="Arial" w:cs="Arial"/>
          <w:vertAlign w:val="superscript"/>
        </w:rPr>
        <w:t>b</w:t>
      </w:r>
      <w:r w:rsidRPr="00F71496">
        <w:rPr>
          <w:rFonts w:ascii="Arial" w:eastAsia="Times New Roman" w:hAnsi="Arial" w:cs="Arial"/>
        </w:rPr>
        <w:t>Minor</w:t>
      </w:r>
      <w:proofErr w:type="spellEnd"/>
      <w:r w:rsidRPr="00F71496">
        <w:rPr>
          <w:rFonts w:ascii="Arial" w:eastAsia="Times New Roman" w:hAnsi="Arial" w:cs="Arial"/>
        </w:rPr>
        <w:t xml:space="preserve"> Allele Frequency of PKTWIN </w:t>
      </w:r>
      <w:r w:rsidRPr="00B84857">
        <w:rPr>
          <w:rFonts w:ascii="Arial" w:eastAsia="Times New Roman" w:hAnsi="Arial" w:cs="Arial"/>
        </w:rPr>
        <w:t xml:space="preserve">and SMOFAM. </w:t>
      </w:r>
      <w:proofErr w:type="spellStart"/>
      <w:r w:rsidRPr="00B84857">
        <w:rPr>
          <w:rFonts w:ascii="Arial" w:eastAsia="Times New Roman" w:hAnsi="Arial" w:cs="Arial"/>
          <w:vertAlign w:val="superscript"/>
        </w:rPr>
        <w:t>c</w:t>
      </w:r>
      <w:r w:rsidRPr="00B84857">
        <w:rPr>
          <w:rFonts w:ascii="Arial" w:eastAsia="Times New Roman" w:hAnsi="Arial" w:cs="Arial"/>
        </w:rPr>
        <w:t>CEU</w:t>
      </w:r>
      <w:proofErr w:type="spellEnd"/>
      <w:r w:rsidRPr="00B84857">
        <w:rPr>
          <w:rFonts w:ascii="Arial" w:eastAsia="Times New Roman" w:hAnsi="Arial" w:cs="Arial"/>
        </w:rPr>
        <w:t xml:space="preserve"> MAF.</w:t>
      </w:r>
    </w:p>
    <w:p w:rsidR="00B84857" w:rsidRPr="00B84857" w:rsidRDefault="00B84857" w:rsidP="00B84857">
      <w:pPr>
        <w:spacing w:after="0" w:line="480" w:lineRule="auto"/>
        <w:rPr>
          <w:rFonts w:ascii="Arial" w:eastAsia="Times New Roman" w:hAnsi="Arial" w:cs="Arial"/>
        </w:rPr>
      </w:pPr>
    </w:p>
    <w:p w:rsidR="00B84857" w:rsidRPr="00B84857" w:rsidRDefault="00B84857" w:rsidP="00B84857">
      <w:pPr>
        <w:spacing w:after="0" w:line="480" w:lineRule="auto"/>
        <w:rPr>
          <w:rFonts w:ascii="Arial" w:eastAsia="Times New Roman" w:hAnsi="Arial" w:cs="Arial"/>
          <w:b/>
        </w:rPr>
      </w:pPr>
      <w:r w:rsidRPr="00B84857">
        <w:rPr>
          <w:rFonts w:ascii="Arial" w:eastAsia="Times New Roman" w:hAnsi="Arial" w:cs="Arial"/>
          <w:b/>
        </w:rPr>
        <w:t>References</w:t>
      </w:r>
    </w:p>
    <w:p w:rsidR="00B84857" w:rsidRPr="00B84857" w:rsidRDefault="00B84857" w:rsidP="00B84857">
      <w:pPr>
        <w:pStyle w:val="ListParagraph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  <w:noProof/>
        </w:rPr>
      </w:pPr>
      <w:r w:rsidRPr="00B84857">
        <w:rPr>
          <w:rFonts w:ascii="Arial" w:eastAsia="Times New Roman" w:hAnsi="Arial" w:cs="Arial"/>
        </w:rPr>
        <w:fldChar w:fldCharType="begin"/>
      </w:r>
      <w:r w:rsidRPr="00B84857">
        <w:rPr>
          <w:rFonts w:ascii="Arial" w:eastAsia="Times New Roman" w:hAnsi="Arial" w:cs="Arial"/>
        </w:rPr>
        <w:instrText xml:space="preserve"> ADDIN EN.REFLIST </w:instrText>
      </w:r>
      <w:r w:rsidRPr="00B84857">
        <w:rPr>
          <w:rFonts w:ascii="Arial" w:eastAsia="Times New Roman" w:hAnsi="Arial" w:cs="Arial"/>
        </w:rPr>
        <w:fldChar w:fldCharType="separate"/>
      </w:r>
      <w:bookmarkStart w:id="1" w:name="_ENREF_1"/>
      <w:r w:rsidRPr="00B84857">
        <w:rPr>
          <w:rFonts w:ascii="Arial" w:eastAsia="Times New Roman" w:hAnsi="Arial" w:cs="Arial"/>
          <w:noProof/>
        </w:rPr>
        <w:t>Coordinators NR (2014) Database resources of the National Center for Biotechnology Information. Nucleic Acids Res 42: D7-17.</w:t>
      </w:r>
      <w:bookmarkEnd w:id="1"/>
    </w:p>
    <w:p w:rsidR="00B84857" w:rsidRPr="00B84857" w:rsidRDefault="00B84857" w:rsidP="00B84857">
      <w:pPr>
        <w:pStyle w:val="ListParagraph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</w:rPr>
      </w:pPr>
      <w:bookmarkStart w:id="2" w:name="_ENREF_2"/>
      <w:r w:rsidRPr="00B84857">
        <w:rPr>
          <w:rFonts w:ascii="Arial" w:eastAsia="Times New Roman" w:hAnsi="Arial" w:cs="Arial"/>
          <w:noProof/>
        </w:rPr>
        <w:t>Clinical Practice Guideline Treating Tobacco U, Dependence Update Panel L and Staff (2008) A clinical practice guideline for treating tobacco use and dependence: 2008 update. A U.S. Public Health Service report. American journal of preventive medicine 35: 158-176.</w:t>
      </w:r>
      <w:bookmarkEnd w:id="2"/>
      <w:r w:rsidRPr="00B84857">
        <w:rPr>
          <w:rFonts w:ascii="Arial" w:eastAsia="Times New Roman" w:hAnsi="Arial" w:cs="Arial"/>
        </w:rPr>
        <w:fldChar w:fldCharType="end"/>
      </w:r>
    </w:p>
    <w:sectPr w:rsidR="00B84857" w:rsidRPr="00B84857" w:rsidSect="00B2403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32375"/>
    <w:multiLevelType w:val="hybridMultilevel"/>
    <w:tmpl w:val="08642C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 O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5t0vraw8r0wr7e9rr6pdt08svf00wvxffww&quot;&gt;PDC 11-142 References&lt;record-ids&gt;&lt;item&gt;1118&lt;/item&gt;&lt;item&gt;1172&lt;/item&gt;&lt;/record-ids&gt;&lt;/item&gt;&lt;/Libraries&gt;"/>
  </w:docVars>
  <w:rsids>
    <w:rsidRoot w:val="00963094"/>
    <w:rsid w:val="00072658"/>
    <w:rsid w:val="00204409"/>
    <w:rsid w:val="005E7662"/>
    <w:rsid w:val="00621320"/>
    <w:rsid w:val="00700B56"/>
    <w:rsid w:val="00963094"/>
    <w:rsid w:val="009A41C8"/>
    <w:rsid w:val="00A407D4"/>
    <w:rsid w:val="00B330C1"/>
    <w:rsid w:val="00B84857"/>
    <w:rsid w:val="00BC6199"/>
    <w:rsid w:val="00D0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3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8485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3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8485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SRI International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abergen</dc:creator>
  <cp:lastModifiedBy>Potts, Nathaniel</cp:lastModifiedBy>
  <cp:revision>2</cp:revision>
  <dcterms:created xsi:type="dcterms:W3CDTF">2015-08-26T21:17:00Z</dcterms:created>
  <dcterms:modified xsi:type="dcterms:W3CDTF">2015-08-26T21:17:00Z</dcterms:modified>
</cp:coreProperties>
</file>