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B85" w:rsidRDefault="00031B85" w:rsidP="00031B85">
      <w:pPr>
        <w:rPr>
          <w:rFonts w:eastAsia="Times New Roman" w:cs="Arial"/>
          <w:sz w:val="22"/>
          <w:szCs w:val="16"/>
          <w:lang w:eastAsia="zh-CN"/>
        </w:rPr>
      </w:pPr>
      <w:r>
        <w:rPr>
          <w:rFonts w:eastAsia="Times New Roman" w:cs="Arial"/>
          <w:b/>
          <w:bCs/>
          <w:sz w:val="22"/>
          <w:szCs w:val="16"/>
          <w:lang w:eastAsia="zh-CN"/>
        </w:rPr>
        <w:t xml:space="preserve">S7 Table. Change in age-adjusted AUC of Rosner-Colditz model by age group for invasive breast cancer by including PRS, MD, and circulating hormones </w:t>
      </w:r>
      <w:r>
        <w:rPr>
          <w:rFonts w:eastAsia="Times New Roman" w:cs="Arial"/>
          <w:sz w:val="22"/>
          <w:szCs w:val="16"/>
          <w:lang w:eastAsia="zh-CN"/>
        </w:rPr>
        <w:t> </w:t>
      </w:r>
    </w:p>
    <w:p w:rsidR="00031B85" w:rsidRDefault="00031B85" w:rsidP="00031B85">
      <w:pPr>
        <w:rPr>
          <w:rFonts w:ascii="Courier New" w:hAnsi="Courier New" w:cs="Courier New"/>
          <w:sz w:val="12"/>
        </w:rPr>
      </w:pPr>
    </w:p>
    <w:tbl>
      <w:tblPr>
        <w:tblStyle w:val="TableGrid"/>
        <w:tblW w:w="4875" w:type="pct"/>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384"/>
        <w:gridCol w:w="1551"/>
        <w:gridCol w:w="1411"/>
        <w:gridCol w:w="1411"/>
      </w:tblGrid>
      <w:tr w:rsidR="00031B85" w:rsidTr="00031B85">
        <w:trPr>
          <w:trHeight w:val="386"/>
        </w:trPr>
        <w:tc>
          <w:tcPr>
            <w:tcW w:w="1865" w:type="pct"/>
            <w:tcBorders>
              <w:top w:val="single" w:sz="4" w:space="0" w:color="auto"/>
              <w:left w:val="nil"/>
              <w:bottom w:val="single" w:sz="4" w:space="0" w:color="auto"/>
              <w:right w:val="nil"/>
            </w:tcBorders>
          </w:tcPr>
          <w:p w:rsidR="00031B85" w:rsidRDefault="00031B85">
            <w:pPr>
              <w:rPr>
                <w:sz w:val="20"/>
                <w:szCs w:val="20"/>
              </w:rPr>
            </w:pPr>
          </w:p>
        </w:tc>
        <w:tc>
          <w:tcPr>
            <w:tcW w:w="682" w:type="pct"/>
            <w:tcBorders>
              <w:top w:val="single" w:sz="4" w:space="0" w:color="auto"/>
              <w:left w:val="nil"/>
              <w:bottom w:val="single" w:sz="4" w:space="0" w:color="auto"/>
              <w:right w:val="nil"/>
            </w:tcBorders>
            <w:hideMark/>
          </w:tcPr>
          <w:p w:rsidR="00031B85" w:rsidRDefault="00031B85">
            <w:pPr>
              <w:rPr>
                <w:b/>
                <w:sz w:val="20"/>
                <w:szCs w:val="20"/>
              </w:rPr>
            </w:pPr>
            <w:r>
              <w:rPr>
                <w:b/>
                <w:sz w:val="20"/>
                <w:szCs w:val="20"/>
              </w:rPr>
              <w:t>No. ca/co</w:t>
            </w:r>
          </w:p>
        </w:tc>
        <w:tc>
          <w:tcPr>
            <w:tcW w:w="869" w:type="pct"/>
            <w:tcBorders>
              <w:top w:val="single" w:sz="4" w:space="0" w:color="auto"/>
              <w:left w:val="nil"/>
              <w:bottom w:val="single" w:sz="4" w:space="0" w:color="auto"/>
              <w:right w:val="nil"/>
            </w:tcBorders>
            <w:hideMark/>
          </w:tcPr>
          <w:p w:rsidR="00031B85" w:rsidRDefault="00031B85">
            <w:pPr>
              <w:rPr>
                <w:b/>
                <w:sz w:val="20"/>
                <w:szCs w:val="20"/>
              </w:rPr>
            </w:pPr>
            <w:r>
              <w:rPr>
                <w:b/>
                <w:sz w:val="20"/>
                <w:szCs w:val="20"/>
              </w:rPr>
              <w:t>Baseline AUC* (</w:t>
            </w:r>
            <w:bookmarkStart w:id="0" w:name="OLE_LINK4"/>
            <w:bookmarkStart w:id="1" w:name="OLE_LINK5"/>
            <w:r>
              <w:rPr>
                <w:b/>
                <w:sz w:val="20"/>
                <w:szCs w:val="20"/>
              </w:rPr>
              <w:t>95%CI</w:t>
            </w:r>
            <w:bookmarkEnd w:id="0"/>
            <w:bookmarkEnd w:id="1"/>
            <w:r>
              <w:rPr>
                <w:b/>
                <w:sz w:val="20"/>
                <w:szCs w:val="20"/>
              </w:rPr>
              <w:t>)</w:t>
            </w:r>
          </w:p>
        </w:tc>
        <w:tc>
          <w:tcPr>
            <w:tcW w:w="792" w:type="pct"/>
            <w:tcBorders>
              <w:top w:val="single" w:sz="4" w:space="0" w:color="auto"/>
              <w:left w:val="nil"/>
              <w:bottom w:val="single" w:sz="4" w:space="0" w:color="auto"/>
              <w:right w:val="nil"/>
            </w:tcBorders>
            <w:hideMark/>
          </w:tcPr>
          <w:p w:rsidR="00031B85" w:rsidRDefault="00031B85">
            <w:pPr>
              <w:rPr>
                <w:b/>
                <w:sz w:val="20"/>
                <w:szCs w:val="20"/>
              </w:rPr>
            </w:pPr>
            <w:r>
              <w:rPr>
                <w:b/>
                <w:sz w:val="20"/>
                <w:szCs w:val="20"/>
              </w:rPr>
              <w:t>Full model** AUC (95%</w:t>
            </w:r>
            <w:proofErr w:type="gramStart"/>
            <w:r>
              <w:rPr>
                <w:b/>
                <w:sz w:val="20"/>
                <w:szCs w:val="20"/>
              </w:rPr>
              <w:t>CI )</w:t>
            </w:r>
            <w:proofErr w:type="gramEnd"/>
          </w:p>
        </w:tc>
        <w:tc>
          <w:tcPr>
            <w:tcW w:w="792" w:type="pct"/>
            <w:tcBorders>
              <w:top w:val="single" w:sz="4" w:space="0" w:color="auto"/>
              <w:left w:val="nil"/>
              <w:bottom w:val="single" w:sz="4" w:space="0" w:color="auto"/>
              <w:right w:val="nil"/>
            </w:tcBorders>
            <w:hideMark/>
          </w:tcPr>
          <w:p w:rsidR="00031B85" w:rsidRDefault="00031B85">
            <w:pPr>
              <w:rPr>
                <w:b/>
                <w:sz w:val="20"/>
                <w:szCs w:val="20"/>
              </w:rPr>
            </w:pPr>
            <w:r>
              <w:rPr>
                <w:b/>
                <w:sz w:val="20"/>
                <w:szCs w:val="20"/>
              </w:rPr>
              <w:t>Changes in AUC (95%</w:t>
            </w:r>
            <w:proofErr w:type="gramStart"/>
            <w:r>
              <w:rPr>
                <w:b/>
                <w:sz w:val="20"/>
                <w:szCs w:val="20"/>
              </w:rPr>
              <w:t>CI )</w:t>
            </w:r>
            <w:proofErr w:type="gramEnd"/>
          </w:p>
        </w:tc>
      </w:tr>
      <w:tr w:rsidR="00031B85" w:rsidTr="00031B85">
        <w:trPr>
          <w:trHeight w:val="134"/>
        </w:trPr>
        <w:tc>
          <w:tcPr>
            <w:tcW w:w="1865" w:type="pct"/>
            <w:tcBorders>
              <w:top w:val="single" w:sz="4" w:space="0" w:color="auto"/>
              <w:left w:val="nil"/>
              <w:bottom w:val="nil"/>
              <w:right w:val="nil"/>
            </w:tcBorders>
            <w:shd w:val="clear" w:color="auto" w:fill="FFFFFF" w:themeFill="background1"/>
            <w:hideMark/>
          </w:tcPr>
          <w:p w:rsidR="00031B85" w:rsidRDefault="00031B85">
            <w:pPr>
              <w:rPr>
                <w:b/>
                <w:sz w:val="20"/>
                <w:szCs w:val="20"/>
              </w:rPr>
            </w:pPr>
            <w:bookmarkStart w:id="2" w:name="_Hlk504529771"/>
            <w:r>
              <w:rPr>
                <w:b/>
                <w:sz w:val="20"/>
                <w:szCs w:val="20"/>
              </w:rPr>
              <w:t>Premenopausal women</w:t>
            </w:r>
          </w:p>
        </w:tc>
        <w:tc>
          <w:tcPr>
            <w:tcW w:w="682" w:type="pct"/>
            <w:tcBorders>
              <w:top w:val="single" w:sz="4" w:space="0" w:color="auto"/>
              <w:left w:val="nil"/>
              <w:bottom w:val="nil"/>
              <w:right w:val="nil"/>
            </w:tcBorders>
            <w:shd w:val="clear" w:color="auto" w:fill="FFFFFF" w:themeFill="background1"/>
          </w:tcPr>
          <w:p w:rsidR="00031B85" w:rsidRDefault="00031B85">
            <w:pPr>
              <w:rPr>
                <w:sz w:val="20"/>
                <w:szCs w:val="20"/>
              </w:rPr>
            </w:pPr>
          </w:p>
        </w:tc>
        <w:tc>
          <w:tcPr>
            <w:tcW w:w="869" w:type="pct"/>
            <w:tcBorders>
              <w:top w:val="single" w:sz="4" w:space="0" w:color="auto"/>
              <w:left w:val="nil"/>
              <w:bottom w:val="nil"/>
              <w:right w:val="nil"/>
            </w:tcBorders>
            <w:shd w:val="clear" w:color="auto" w:fill="FFFFFF" w:themeFill="background1"/>
          </w:tcPr>
          <w:p w:rsidR="00031B85" w:rsidRDefault="00031B85">
            <w:pPr>
              <w:rPr>
                <w:sz w:val="20"/>
                <w:szCs w:val="20"/>
              </w:rPr>
            </w:pPr>
          </w:p>
        </w:tc>
        <w:tc>
          <w:tcPr>
            <w:tcW w:w="792" w:type="pct"/>
            <w:tcBorders>
              <w:top w:val="single" w:sz="4" w:space="0" w:color="auto"/>
              <w:left w:val="nil"/>
              <w:bottom w:val="nil"/>
              <w:right w:val="nil"/>
            </w:tcBorders>
            <w:shd w:val="clear" w:color="auto" w:fill="FFFFFF" w:themeFill="background1"/>
          </w:tcPr>
          <w:p w:rsidR="00031B85" w:rsidRDefault="00031B85">
            <w:pPr>
              <w:rPr>
                <w:sz w:val="20"/>
                <w:szCs w:val="20"/>
              </w:rPr>
            </w:pPr>
          </w:p>
        </w:tc>
        <w:tc>
          <w:tcPr>
            <w:tcW w:w="792" w:type="pct"/>
            <w:tcBorders>
              <w:top w:val="single" w:sz="4" w:space="0" w:color="auto"/>
              <w:left w:val="nil"/>
              <w:bottom w:val="nil"/>
              <w:right w:val="nil"/>
            </w:tcBorders>
            <w:shd w:val="clear" w:color="auto" w:fill="FFFFFF" w:themeFill="background1"/>
          </w:tcPr>
          <w:p w:rsidR="00031B85" w:rsidRDefault="00031B85">
            <w:pPr>
              <w:rPr>
                <w:sz w:val="20"/>
                <w:szCs w:val="20"/>
              </w:rPr>
            </w:pP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&lt;40</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96/309</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51.9 (45.2-58.6)</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66.7 (60.6-72.8)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14.8 (7.4-22.2)</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40-44</w:t>
            </w:r>
          </w:p>
        </w:tc>
        <w:tc>
          <w:tcPr>
            <w:tcW w:w="682" w:type="pct"/>
            <w:tcBorders>
              <w:top w:val="nil"/>
              <w:left w:val="nil"/>
              <w:bottom w:val="nil"/>
              <w:right w:val="nil"/>
            </w:tcBorders>
            <w:hideMark/>
          </w:tcPr>
          <w:p w:rsidR="00031B85" w:rsidRDefault="00031B85">
            <w:pPr>
              <w:rPr>
                <w:sz w:val="20"/>
                <w:szCs w:val="20"/>
              </w:rPr>
            </w:pPr>
            <w:r>
              <w:rPr>
                <w:sz w:val="20"/>
                <w:szCs w:val="20"/>
              </w:rPr>
              <w:t>329/922</w:t>
            </w:r>
          </w:p>
        </w:tc>
        <w:tc>
          <w:tcPr>
            <w:tcW w:w="869" w:type="pct"/>
            <w:tcBorders>
              <w:top w:val="nil"/>
              <w:left w:val="nil"/>
              <w:bottom w:val="nil"/>
              <w:right w:val="nil"/>
            </w:tcBorders>
            <w:hideMark/>
          </w:tcPr>
          <w:p w:rsidR="00031B85" w:rsidRDefault="00031B85">
            <w:pPr>
              <w:rPr>
                <w:sz w:val="20"/>
                <w:szCs w:val="20"/>
              </w:rPr>
            </w:pPr>
            <w:r>
              <w:rPr>
                <w:sz w:val="20"/>
                <w:szCs w:val="20"/>
              </w:rPr>
              <w:t>62.1 (58.6-65.6)</w:t>
            </w:r>
          </w:p>
        </w:tc>
        <w:tc>
          <w:tcPr>
            <w:tcW w:w="792" w:type="pct"/>
            <w:tcBorders>
              <w:top w:val="nil"/>
              <w:left w:val="nil"/>
              <w:bottom w:val="nil"/>
              <w:right w:val="nil"/>
            </w:tcBorders>
            <w:hideMark/>
          </w:tcPr>
          <w:p w:rsidR="00031B85" w:rsidRDefault="00031B85">
            <w:pPr>
              <w:rPr>
                <w:sz w:val="20"/>
                <w:szCs w:val="20"/>
              </w:rPr>
            </w:pPr>
            <w:r>
              <w:rPr>
                <w:sz w:val="20"/>
                <w:szCs w:val="20"/>
              </w:rPr>
              <w:t>64.1 (60.6-67.6)</w:t>
            </w:r>
          </w:p>
        </w:tc>
        <w:tc>
          <w:tcPr>
            <w:tcW w:w="792" w:type="pct"/>
            <w:tcBorders>
              <w:top w:val="nil"/>
              <w:left w:val="nil"/>
              <w:bottom w:val="nil"/>
              <w:right w:val="nil"/>
            </w:tcBorders>
            <w:hideMark/>
          </w:tcPr>
          <w:p w:rsidR="00031B85" w:rsidRDefault="00031B85">
            <w:pPr>
              <w:rPr>
                <w:sz w:val="20"/>
                <w:szCs w:val="20"/>
              </w:rPr>
            </w:pPr>
            <w:r>
              <w:rPr>
                <w:sz w:val="20"/>
                <w:szCs w:val="20"/>
              </w:rPr>
              <w:t>2.0 (-1.7-5.7)</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45-49</w:t>
            </w:r>
          </w:p>
        </w:tc>
        <w:tc>
          <w:tcPr>
            <w:tcW w:w="682" w:type="pct"/>
            <w:tcBorders>
              <w:top w:val="nil"/>
              <w:left w:val="nil"/>
              <w:bottom w:val="nil"/>
              <w:right w:val="nil"/>
            </w:tcBorders>
            <w:hideMark/>
          </w:tcPr>
          <w:p w:rsidR="00031B85" w:rsidRDefault="00031B85">
            <w:pPr>
              <w:rPr>
                <w:sz w:val="20"/>
                <w:szCs w:val="20"/>
              </w:rPr>
            </w:pPr>
            <w:r>
              <w:rPr>
                <w:sz w:val="20"/>
                <w:szCs w:val="20"/>
              </w:rPr>
              <w:t>523/1,188</w:t>
            </w:r>
          </w:p>
        </w:tc>
        <w:tc>
          <w:tcPr>
            <w:tcW w:w="869" w:type="pct"/>
            <w:tcBorders>
              <w:top w:val="nil"/>
              <w:left w:val="nil"/>
              <w:bottom w:val="nil"/>
              <w:right w:val="nil"/>
            </w:tcBorders>
            <w:hideMark/>
          </w:tcPr>
          <w:p w:rsidR="00031B85" w:rsidRDefault="00031B85">
            <w:pPr>
              <w:rPr>
                <w:sz w:val="20"/>
                <w:szCs w:val="20"/>
              </w:rPr>
            </w:pPr>
            <w:r>
              <w:rPr>
                <w:sz w:val="20"/>
                <w:szCs w:val="20"/>
              </w:rPr>
              <w:t>60.3 (57.4-63.2)</w:t>
            </w:r>
          </w:p>
        </w:tc>
        <w:tc>
          <w:tcPr>
            <w:tcW w:w="792" w:type="pct"/>
            <w:tcBorders>
              <w:top w:val="nil"/>
              <w:left w:val="nil"/>
              <w:bottom w:val="nil"/>
              <w:right w:val="nil"/>
            </w:tcBorders>
            <w:hideMark/>
          </w:tcPr>
          <w:p w:rsidR="00031B85" w:rsidRDefault="00031B85">
            <w:pPr>
              <w:rPr>
                <w:sz w:val="20"/>
                <w:szCs w:val="20"/>
              </w:rPr>
            </w:pPr>
            <w:r>
              <w:rPr>
                <w:sz w:val="20"/>
                <w:szCs w:val="20"/>
              </w:rPr>
              <w:t>67.3 (64.6-70.0)</w:t>
            </w:r>
          </w:p>
        </w:tc>
        <w:tc>
          <w:tcPr>
            <w:tcW w:w="792" w:type="pct"/>
            <w:tcBorders>
              <w:top w:val="nil"/>
              <w:left w:val="nil"/>
              <w:bottom w:val="nil"/>
              <w:right w:val="nil"/>
            </w:tcBorders>
            <w:hideMark/>
          </w:tcPr>
          <w:p w:rsidR="00031B85" w:rsidRDefault="00031B85">
            <w:pPr>
              <w:rPr>
                <w:sz w:val="20"/>
                <w:szCs w:val="20"/>
              </w:rPr>
            </w:pPr>
            <w:r>
              <w:rPr>
                <w:sz w:val="20"/>
                <w:szCs w:val="20"/>
              </w:rPr>
              <w:t>7.0 (4.3-9.7)</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50-54</w:t>
            </w:r>
          </w:p>
        </w:tc>
        <w:tc>
          <w:tcPr>
            <w:tcW w:w="682" w:type="pct"/>
            <w:tcBorders>
              <w:top w:val="nil"/>
              <w:left w:val="nil"/>
              <w:bottom w:val="nil"/>
              <w:right w:val="nil"/>
            </w:tcBorders>
            <w:hideMark/>
          </w:tcPr>
          <w:p w:rsidR="00031B85" w:rsidRDefault="00031B85">
            <w:pPr>
              <w:rPr>
                <w:sz w:val="20"/>
                <w:szCs w:val="20"/>
              </w:rPr>
            </w:pPr>
            <w:r>
              <w:rPr>
                <w:sz w:val="20"/>
                <w:szCs w:val="20"/>
              </w:rPr>
              <w:t>192/296</w:t>
            </w:r>
          </w:p>
        </w:tc>
        <w:tc>
          <w:tcPr>
            <w:tcW w:w="869" w:type="pct"/>
            <w:tcBorders>
              <w:top w:val="nil"/>
              <w:left w:val="nil"/>
              <w:bottom w:val="nil"/>
              <w:right w:val="nil"/>
            </w:tcBorders>
            <w:hideMark/>
          </w:tcPr>
          <w:p w:rsidR="00031B85" w:rsidRDefault="00031B85">
            <w:pPr>
              <w:rPr>
                <w:sz w:val="20"/>
                <w:szCs w:val="20"/>
              </w:rPr>
            </w:pPr>
            <w:r>
              <w:rPr>
                <w:sz w:val="20"/>
                <w:szCs w:val="20"/>
              </w:rPr>
              <w:t>64.2 (59.3-69.1)</w:t>
            </w:r>
          </w:p>
        </w:tc>
        <w:tc>
          <w:tcPr>
            <w:tcW w:w="792" w:type="pct"/>
            <w:tcBorders>
              <w:top w:val="nil"/>
              <w:left w:val="nil"/>
              <w:bottom w:val="nil"/>
              <w:right w:val="nil"/>
            </w:tcBorders>
            <w:hideMark/>
          </w:tcPr>
          <w:p w:rsidR="00031B85" w:rsidRDefault="00031B85">
            <w:pPr>
              <w:rPr>
                <w:sz w:val="20"/>
                <w:szCs w:val="20"/>
              </w:rPr>
            </w:pPr>
            <w:r>
              <w:rPr>
                <w:sz w:val="20"/>
                <w:szCs w:val="20"/>
              </w:rPr>
              <w:t>67.9 (63.0-72.8)</w:t>
            </w:r>
          </w:p>
        </w:tc>
        <w:tc>
          <w:tcPr>
            <w:tcW w:w="792" w:type="pct"/>
            <w:tcBorders>
              <w:top w:val="nil"/>
              <w:left w:val="nil"/>
              <w:bottom w:val="nil"/>
              <w:right w:val="nil"/>
            </w:tcBorders>
            <w:hideMark/>
          </w:tcPr>
          <w:p w:rsidR="00031B85" w:rsidRDefault="00031B85">
            <w:pPr>
              <w:rPr>
                <w:sz w:val="20"/>
                <w:szCs w:val="20"/>
              </w:rPr>
            </w:pPr>
            <w:r>
              <w:rPr>
                <w:sz w:val="20"/>
                <w:szCs w:val="20"/>
              </w:rPr>
              <w:t>3.6 (-0.5-7.7)</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55-59</w:t>
            </w:r>
          </w:p>
        </w:tc>
        <w:tc>
          <w:tcPr>
            <w:tcW w:w="682" w:type="pct"/>
            <w:tcBorders>
              <w:top w:val="nil"/>
              <w:left w:val="nil"/>
              <w:bottom w:val="nil"/>
              <w:right w:val="nil"/>
            </w:tcBorders>
            <w:hideMark/>
          </w:tcPr>
          <w:p w:rsidR="00031B85" w:rsidRDefault="00031B85">
            <w:pPr>
              <w:rPr>
                <w:sz w:val="20"/>
                <w:szCs w:val="20"/>
              </w:rPr>
            </w:pPr>
            <w:r>
              <w:rPr>
                <w:sz w:val="20"/>
                <w:szCs w:val="20"/>
              </w:rPr>
              <w:t>24/26</w:t>
            </w:r>
          </w:p>
        </w:tc>
        <w:tc>
          <w:tcPr>
            <w:tcW w:w="869" w:type="pct"/>
            <w:tcBorders>
              <w:top w:val="nil"/>
              <w:left w:val="nil"/>
              <w:bottom w:val="nil"/>
              <w:right w:val="nil"/>
            </w:tcBorders>
            <w:hideMark/>
          </w:tcPr>
          <w:p w:rsidR="00031B85" w:rsidRDefault="00031B85">
            <w:pPr>
              <w:rPr>
                <w:sz w:val="20"/>
                <w:szCs w:val="20"/>
              </w:rPr>
            </w:pPr>
            <w:r>
              <w:rPr>
                <w:sz w:val="20"/>
                <w:szCs w:val="20"/>
              </w:rPr>
              <w:t>45.0 (28.9-61.1)</w:t>
            </w:r>
          </w:p>
        </w:tc>
        <w:tc>
          <w:tcPr>
            <w:tcW w:w="792" w:type="pct"/>
            <w:tcBorders>
              <w:top w:val="nil"/>
              <w:left w:val="nil"/>
              <w:bottom w:val="nil"/>
              <w:right w:val="nil"/>
            </w:tcBorders>
            <w:hideMark/>
          </w:tcPr>
          <w:p w:rsidR="00031B85" w:rsidRDefault="00031B85">
            <w:pPr>
              <w:rPr>
                <w:sz w:val="20"/>
                <w:szCs w:val="20"/>
              </w:rPr>
            </w:pPr>
            <w:r>
              <w:rPr>
                <w:sz w:val="20"/>
                <w:szCs w:val="20"/>
              </w:rPr>
              <w:t>58.0 (42.1-73.9)</w:t>
            </w:r>
          </w:p>
        </w:tc>
        <w:tc>
          <w:tcPr>
            <w:tcW w:w="792" w:type="pct"/>
            <w:tcBorders>
              <w:top w:val="nil"/>
              <w:left w:val="nil"/>
              <w:bottom w:val="nil"/>
              <w:right w:val="nil"/>
            </w:tcBorders>
            <w:hideMark/>
          </w:tcPr>
          <w:p w:rsidR="00031B85" w:rsidRDefault="00031B85">
            <w:pPr>
              <w:rPr>
                <w:sz w:val="20"/>
                <w:szCs w:val="20"/>
              </w:rPr>
            </w:pPr>
            <w:r>
              <w:rPr>
                <w:sz w:val="20"/>
                <w:szCs w:val="20"/>
              </w:rPr>
              <w:t>13.0 (-0.5-26.5)</w:t>
            </w:r>
          </w:p>
        </w:tc>
      </w:tr>
      <w:tr w:rsidR="00031B85" w:rsidTr="00031B85">
        <w:tc>
          <w:tcPr>
            <w:tcW w:w="1865" w:type="pct"/>
            <w:tcBorders>
              <w:top w:val="nil"/>
              <w:left w:val="nil"/>
              <w:bottom w:val="single" w:sz="4" w:space="0" w:color="auto"/>
              <w:right w:val="nil"/>
            </w:tcBorders>
          </w:tcPr>
          <w:p w:rsidR="00031B85" w:rsidRDefault="00031B85">
            <w:pPr>
              <w:rPr>
                <w:sz w:val="20"/>
                <w:szCs w:val="20"/>
              </w:rPr>
            </w:pPr>
          </w:p>
        </w:tc>
        <w:tc>
          <w:tcPr>
            <w:tcW w:w="682" w:type="pct"/>
            <w:tcBorders>
              <w:top w:val="nil"/>
              <w:left w:val="nil"/>
              <w:bottom w:val="single" w:sz="4" w:space="0" w:color="auto"/>
              <w:right w:val="nil"/>
            </w:tcBorders>
            <w:hideMark/>
          </w:tcPr>
          <w:p w:rsidR="00031B85" w:rsidRDefault="00031B85">
            <w:pPr>
              <w:rPr>
                <w:sz w:val="20"/>
                <w:szCs w:val="20"/>
              </w:rPr>
            </w:pPr>
            <w:r>
              <w:rPr>
                <w:sz w:val="20"/>
                <w:szCs w:val="20"/>
              </w:rPr>
              <w:t>1,164/2,741</w:t>
            </w:r>
            <w:r>
              <w:rPr>
                <w:rFonts w:cs="Arial"/>
                <w:sz w:val="20"/>
                <w:szCs w:val="20"/>
              </w:rPr>
              <w:t>†</w:t>
            </w:r>
          </w:p>
        </w:tc>
        <w:tc>
          <w:tcPr>
            <w:tcW w:w="869" w:type="pct"/>
            <w:tcBorders>
              <w:top w:val="nil"/>
              <w:left w:val="nil"/>
              <w:bottom w:val="single" w:sz="4" w:space="0" w:color="auto"/>
              <w:right w:val="nil"/>
            </w:tcBorders>
            <w:hideMark/>
          </w:tcPr>
          <w:p w:rsidR="00031B85" w:rsidRDefault="00031B85">
            <w:pPr>
              <w:rPr>
                <w:sz w:val="20"/>
                <w:szCs w:val="20"/>
              </w:rPr>
            </w:pPr>
            <w:r>
              <w:rPr>
                <w:sz w:val="20"/>
                <w:szCs w:val="20"/>
              </w:rPr>
              <w:t>60.5 (58.5-62.5)</w:t>
            </w:r>
          </w:p>
        </w:tc>
        <w:tc>
          <w:tcPr>
            <w:tcW w:w="792" w:type="pct"/>
            <w:tcBorders>
              <w:top w:val="nil"/>
              <w:left w:val="nil"/>
              <w:bottom w:val="single" w:sz="4" w:space="0" w:color="auto"/>
              <w:right w:val="nil"/>
            </w:tcBorders>
            <w:hideMark/>
          </w:tcPr>
          <w:p w:rsidR="00031B85" w:rsidRDefault="00031B85">
            <w:pPr>
              <w:rPr>
                <w:sz w:val="20"/>
                <w:szCs w:val="20"/>
              </w:rPr>
            </w:pPr>
            <w:r>
              <w:rPr>
                <w:sz w:val="20"/>
                <w:szCs w:val="20"/>
              </w:rPr>
              <w:t>66.3 (64.5-68.1)</w:t>
            </w:r>
          </w:p>
        </w:tc>
        <w:tc>
          <w:tcPr>
            <w:tcW w:w="792" w:type="pct"/>
            <w:tcBorders>
              <w:top w:val="nil"/>
              <w:left w:val="nil"/>
              <w:bottom w:val="single" w:sz="4" w:space="0" w:color="auto"/>
              <w:right w:val="nil"/>
            </w:tcBorders>
            <w:hideMark/>
          </w:tcPr>
          <w:p w:rsidR="00031B85" w:rsidRDefault="00031B85">
            <w:pPr>
              <w:rPr>
                <w:sz w:val="20"/>
                <w:szCs w:val="20"/>
              </w:rPr>
            </w:pPr>
            <w:r>
              <w:rPr>
                <w:sz w:val="20"/>
                <w:szCs w:val="20"/>
              </w:rPr>
              <w:t>5.7 (3.9-7.5)</w:t>
            </w:r>
          </w:p>
        </w:tc>
      </w:tr>
      <w:tr w:rsidR="00031B85" w:rsidTr="00031B85">
        <w:tc>
          <w:tcPr>
            <w:tcW w:w="2547" w:type="pct"/>
            <w:gridSpan w:val="2"/>
            <w:tcBorders>
              <w:top w:val="single" w:sz="4" w:space="0" w:color="auto"/>
              <w:left w:val="nil"/>
              <w:bottom w:val="nil"/>
              <w:right w:val="nil"/>
            </w:tcBorders>
            <w:hideMark/>
          </w:tcPr>
          <w:p w:rsidR="00031B85" w:rsidRDefault="00031B85">
            <w:pPr>
              <w:rPr>
                <w:sz w:val="20"/>
                <w:szCs w:val="20"/>
              </w:rPr>
            </w:pPr>
            <w:r>
              <w:rPr>
                <w:b/>
                <w:sz w:val="20"/>
                <w:szCs w:val="20"/>
              </w:rPr>
              <w:t>Postmenopausal women not using HT</w:t>
            </w:r>
          </w:p>
        </w:tc>
        <w:tc>
          <w:tcPr>
            <w:tcW w:w="869" w:type="pct"/>
            <w:tcBorders>
              <w:top w:val="single" w:sz="4" w:space="0" w:color="auto"/>
              <w:left w:val="nil"/>
              <w:bottom w:val="nil"/>
              <w:right w:val="nil"/>
            </w:tcBorders>
          </w:tcPr>
          <w:p w:rsidR="00031B85" w:rsidRDefault="00031B85">
            <w:pPr>
              <w:rPr>
                <w:sz w:val="20"/>
                <w:szCs w:val="20"/>
              </w:rPr>
            </w:pPr>
          </w:p>
        </w:tc>
        <w:tc>
          <w:tcPr>
            <w:tcW w:w="792" w:type="pct"/>
            <w:tcBorders>
              <w:top w:val="single" w:sz="4" w:space="0" w:color="auto"/>
              <w:left w:val="nil"/>
              <w:bottom w:val="nil"/>
              <w:right w:val="nil"/>
            </w:tcBorders>
          </w:tcPr>
          <w:p w:rsidR="00031B85" w:rsidRDefault="00031B85">
            <w:pPr>
              <w:rPr>
                <w:sz w:val="20"/>
                <w:szCs w:val="20"/>
              </w:rPr>
            </w:pPr>
          </w:p>
        </w:tc>
        <w:tc>
          <w:tcPr>
            <w:tcW w:w="792" w:type="pct"/>
            <w:tcBorders>
              <w:top w:val="single" w:sz="4" w:space="0" w:color="auto"/>
              <w:left w:val="nil"/>
              <w:bottom w:val="nil"/>
              <w:right w:val="nil"/>
            </w:tcBorders>
          </w:tcPr>
          <w:p w:rsidR="00031B85" w:rsidRDefault="00031B85">
            <w:pPr>
              <w:rPr>
                <w:sz w:val="20"/>
                <w:szCs w:val="20"/>
              </w:rPr>
            </w:pP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&lt;45</w:t>
            </w:r>
          </w:p>
        </w:tc>
        <w:tc>
          <w:tcPr>
            <w:tcW w:w="682" w:type="pct"/>
            <w:tcBorders>
              <w:top w:val="nil"/>
              <w:left w:val="nil"/>
              <w:bottom w:val="nil"/>
              <w:right w:val="nil"/>
            </w:tcBorders>
            <w:hideMark/>
          </w:tcPr>
          <w:p w:rsidR="00031B85" w:rsidRDefault="00031B85">
            <w:pPr>
              <w:rPr>
                <w:sz w:val="20"/>
                <w:szCs w:val="20"/>
              </w:rPr>
            </w:pPr>
            <w:r>
              <w:rPr>
                <w:sz w:val="20"/>
                <w:szCs w:val="20"/>
              </w:rPr>
              <w:t>8/25</w:t>
            </w:r>
          </w:p>
        </w:tc>
        <w:tc>
          <w:tcPr>
            <w:tcW w:w="869" w:type="pct"/>
            <w:tcBorders>
              <w:top w:val="nil"/>
              <w:left w:val="nil"/>
              <w:bottom w:val="nil"/>
              <w:right w:val="nil"/>
            </w:tcBorders>
            <w:hideMark/>
          </w:tcPr>
          <w:p w:rsidR="00031B85" w:rsidRDefault="00031B85">
            <w:pPr>
              <w:rPr>
                <w:sz w:val="20"/>
                <w:szCs w:val="20"/>
              </w:rPr>
            </w:pPr>
            <w:r>
              <w:rPr>
                <w:sz w:val="20"/>
                <w:szCs w:val="20"/>
              </w:rPr>
              <w:t>45.0 (21.9-68.1)</w:t>
            </w:r>
          </w:p>
        </w:tc>
        <w:tc>
          <w:tcPr>
            <w:tcW w:w="792" w:type="pct"/>
            <w:tcBorders>
              <w:top w:val="nil"/>
              <w:left w:val="nil"/>
              <w:bottom w:val="nil"/>
              <w:right w:val="nil"/>
            </w:tcBorders>
            <w:hideMark/>
          </w:tcPr>
          <w:p w:rsidR="00031B85" w:rsidRDefault="00031B85">
            <w:pPr>
              <w:rPr>
                <w:sz w:val="20"/>
                <w:szCs w:val="20"/>
              </w:rPr>
            </w:pPr>
            <w:r>
              <w:rPr>
                <w:sz w:val="20"/>
                <w:szCs w:val="20"/>
              </w:rPr>
              <w:t>53.5 (30.2-76.8)</w:t>
            </w:r>
          </w:p>
        </w:tc>
        <w:tc>
          <w:tcPr>
            <w:tcW w:w="792" w:type="pct"/>
            <w:tcBorders>
              <w:top w:val="nil"/>
              <w:left w:val="nil"/>
              <w:bottom w:val="nil"/>
              <w:right w:val="nil"/>
            </w:tcBorders>
            <w:hideMark/>
          </w:tcPr>
          <w:p w:rsidR="00031B85" w:rsidRDefault="00031B85">
            <w:pPr>
              <w:rPr>
                <w:sz w:val="20"/>
                <w:szCs w:val="20"/>
              </w:rPr>
            </w:pPr>
            <w:r>
              <w:rPr>
                <w:sz w:val="20"/>
                <w:szCs w:val="20"/>
              </w:rPr>
              <w:t>8.5 (-17.2-34.2)</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45-49</w:t>
            </w:r>
          </w:p>
        </w:tc>
        <w:tc>
          <w:tcPr>
            <w:tcW w:w="682" w:type="pct"/>
            <w:tcBorders>
              <w:top w:val="nil"/>
              <w:left w:val="nil"/>
              <w:bottom w:val="nil"/>
              <w:right w:val="nil"/>
            </w:tcBorders>
            <w:hideMark/>
          </w:tcPr>
          <w:p w:rsidR="00031B85" w:rsidRDefault="00031B85">
            <w:pPr>
              <w:rPr>
                <w:sz w:val="20"/>
                <w:szCs w:val="20"/>
              </w:rPr>
            </w:pPr>
            <w:r>
              <w:rPr>
                <w:sz w:val="20"/>
                <w:szCs w:val="20"/>
              </w:rPr>
              <w:t>35/79</w:t>
            </w:r>
          </w:p>
        </w:tc>
        <w:tc>
          <w:tcPr>
            <w:tcW w:w="869" w:type="pct"/>
            <w:tcBorders>
              <w:top w:val="nil"/>
              <w:left w:val="nil"/>
              <w:bottom w:val="nil"/>
              <w:right w:val="nil"/>
            </w:tcBorders>
            <w:hideMark/>
          </w:tcPr>
          <w:p w:rsidR="00031B85" w:rsidRDefault="00031B85">
            <w:pPr>
              <w:rPr>
                <w:sz w:val="20"/>
                <w:szCs w:val="20"/>
              </w:rPr>
            </w:pPr>
            <w:r>
              <w:rPr>
                <w:sz w:val="20"/>
                <w:szCs w:val="20"/>
              </w:rPr>
              <w:t>66.9 (56.1-77.7)</w:t>
            </w:r>
          </w:p>
        </w:tc>
        <w:tc>
          <w:tcPr>
            <w:tcW w:w="792" w:type="pct"/>
            <w:tcBorders>
              <w:top w:val="nil"/>
              <w:left w:val="nil"/>
              <w:bottom w:val="nil"/>
              <w:right w:val="nil"/>
            </w:tcBorders>
            <w:hideMark/>
          </w:tcPr>
          <w:p w:rsidR="00031B85" w:rsidRDefault="00031B85">
            <w:pPr>
              <w:rPr>
                <w:sz w:val="20"/>
                <w:szCs w:val="20"/>
              </w:rPr>
            </w:pPr>
            <w:r>
              <w:rPr>
                <w:sz w:val="20"/>
                <w:szCs w:val="20"/>
              </w:rPr>
              <w:t>75.7 (66.3-85.1)</w:t>
            </w:r>
          </w:p>
        </w:tc>
        <w:tc>
          <w:tcPr>
            <w:tcW w:w="792" w:type="pct"/>
            <w:tcBorders>
              <w:top w:val="nil"/>
              <w:left w:val="nil"/>
              <w:bottom w:val="nil"/>
              <w:right w:val="nil"/>
            </w:tcBorders>
            <w:hideMark/>
          </w:tcPr>
          <w:p w:rsidR="00031B85" w:rsidRDefault="00031B85">
            <w:pPr>
              <w:rPr>
                <w:sz w:val="20"/>
                <w:szCs w:val="20"/>
              </w:rPr>
            </w:pPr>
            <w:r>
              <w:rPr>
                <w:sz w:val="20"/>
                <w:szCs w:val="20"/>
              </w:rPr>
              <w:t>8.9 (-0.9-18.7)</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50-54</w:t>
            </w:r>
          </w:p>
        </w:tc>
        <w:tc>
          <w:tcPr>
            <w:tcW w:w="682" w:type="pct"/>
            <w:tcBorders>
              <w:top w:val="nil"/>
              <w:left w:val="nil"/>
              <w:bottom w:val="nil"/>
              <w:right w:val="nil"/>
            </w:tcBorders>
            <w:hideMark/>
          </w:tcPr>
          <w:p w:rsidR="00031B85" w:rsidRDefault="00031B85">
            <w:pPr>
              <w:rPr>
                <w:sz w:val="20"/>
                <w:szCs w:val="20"/>
              </w:rPr>
            </w:pPr>
            <w:r>
              <w:rPr>
                <w:sz w:val="20"/>
                <w:szCs w:val="20"/>
              </w:rPr>
              <w:t>94/177</w:t>
            </w:r>
          </w:p>
        </w:tc>
        <w:tc>
          <w:tcPr>
            <w:tcW w:w="869" w:type="pct"/>
            <w:tcBorders>
              <w:top w:val="nil"/>
              <w:left w:val="nil"/>
              <w:bottom w:val="nil"/>
              <w:right w:val="nil"/>
            </w:tcBorders>
            <w:hideMark/>
          </w:tcPr>
          <w:p w:rsidR="00031B85" w:rsidRDefault="00031B85">
            <w:pPr>
              <w:rPr>
                <w:sz w:val="20"/>
                <w:szCs w:val="20"/>
              </w:rPr>
            </w:pPr>
            <w:r>
              <w:rPr>
                <w:sz w:val="20"/>
                <w:szCs w:val="20"/>
              </w:rPr>
              <w:t>68.9 (62.4-75.4)</w:t>
            </w:r>
          </w:p>
        </w:tc>
        <w:tc>
          <w:tcPr>
            <w:tcW w:w="792" w:type="pct"/>
            <w:tcBorders>
              <w:top w:val="nil"/>
              <w:left w:val="nil"/>
              <w:bottom w:val="nil"/>
              <w:right w:val="nil"/>
            </w:tcBorders>
            <w:hideMark/>
          </w:tcPr>
          <w:p w:rsidR="00031B85" w:rsidRDefault="00031B85">
            <w:pPr>
              <w:rPr>
                <w:sz w:val="20"/>
                <w:szCs w:val="20"/>
              </w:rPr>
            </w:pPr>
            <w:r>
              <w:rPr>
                <w:sz w:val="20"/>
                <w:szCs w:val="20"/>
              </w:rPr>
              <w:t>74.0 (67.9-80.1)</w:t>
            </w:r>
          </w:p>
        </w:tc>
        <w:tc>
          <w:tcPr>
            <w:tcW w:w="792" w:type="pct"/>
            <w:tcBorders>
              <w:top w:val="nil"/>
              <w:left w:val="nil"/>
              <w:bottom w:val="nil"/>
              <w:right w:val="nil"/>
            </w:tcBorders>
            <w:hideMark/>
          </w:tcPr>
          <w:p w:rsidR="00031B85" w:rsidRDefault="00031B85">
            <w:pPr>
              <w:rPr>
                <w:sz w:val="20"/>
                <w:szCs w:val="20"/>
              </w:rPr>
            </w:pPr>
            <w:r>
              <w:rPr>
                <w:sz w:val="20"/>
                <w:szCs w:val="20"/>
              </w:rPr>
              <w:t>5.0 (-1.3-11.3)</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55-59</w:t>
            </w:r>
          </w:p>
        </w:tc>
        <w:tc>
          <w:tcPr>
            <w:tcW w:w="682" w:type="pct"/>
            <w:tcBorders>
              <w:top w:val="nil"/>
              <w:left w:val="nil"/>
              <w:bottom w:val="nil"/>
              <w:right w:val="nil"/>
            </w:tcBorders>
            <w:hideMark/>
          </w:tcPr>
          <w:p w:rsidR="00031B85" w:rsidRDefault="00031B85">
            <w:pPr>
              <w:rPr>
                <w:sz w:val="20"/>
                <w:szCs w:val="20"/>
              </w:rPr>
            </w:pPr>
            <w:r>
              <w:rPr>
                <w:sz w:val="20"/>
                <w:szCs w:val="20"/>
              </w:rPr>
              <w:t>178/342</w:t>
            </w:r>
          </w:p>
        </w:tc>
        <w:tc>
          <w:tcPr>
            <w:tcW w:w="869" w:type="pct"/>
            <w:tcBorders>
              <w:top w:val="nil"/>
              <w:left w:val="nil"/>
              <w:bottom w:val="nil"/>
              <w:right w:val="nil"/>
            </w:tcBorders>
            <w:hideMark/>
          </w:tcPr>
          <w:p w:rsidR="00031B85" w:rsidRDefault="00031B85">
            <w:pPr>
              <w:rPr>
                <w:sz w:val="20"/>
                <w:szCs w:val="20"/>
              </w:rPr>
            </w:pPr>
            <w:r>
              <w:rPr>
                <w:sz w:val="20"/>
                <w:szCs w:val="20"/>
              </w:rPr>
              <w:t>61.1 (56.0-66.2)</w:t>
            </w:r>
          </w:p>
        </w:tc>
        <w:tc>
          <w:tcPr>
            <w:tcW w:w="792" w:type="pct"/>
            <w:tcBorders>
              <w:top w:val="nil"/>
              <w:left w:val="nil"/>
              <w:bottom w:val="nil"/>
              <w:right w:val="nil"/>
            </w:tcBorders>
            <w:hideMark/>
          </w:tcPr>
          <w:p w:rsidR="00031B85" w:rsidRDefault="00031B85">
            <w:pPr>
              <w:rPr>
                <w:sz w:val="20"/>
                <w:szCs w:val="20"/>
              </w:rPr>
            </w:pPr>
            <w:r>
              <w:rPr>
                <w:sz w:val="20"/>
                <w:szCs w:val="20"/>
              </w:rPr>
              <w:t>66.8 (61.9-71.7)</w:t>
            </w:r>
          </w:p>
        </w:tc>
        <w:tc>
          <w:tcPr>
            <w:tcW w:w="792" w:type="pct"/>
            <w:tcBorders>
              <w:top w:val="nil"/>
              <w:left w:val="nil"/>
              <w:bottom w:val="nil"/>
              <w:right w:val="nil"/>
            </w:tcBorders>
            <w:hideMark/>
          </w:tcPr>
          <w:p w:rsidR="00031B85" w:rsidRDefault="00031B85">
            <w:pPr>
              <w:rPr>
                <w:sz w:val="20"/>
                <w:szCs w:val="20"/>
              </w:rPr>
            </w:pPr>
            <w:r>
              <w:rPr>
                <w:sz w:val="20"/>
                <w:szCs w:val="20"/>
              </w:rPr>
              <w:t>5.8 (0.9-10.7)</w:t>
            </w:r>
          </w:p>
        </w:tc>
      </w:tr>
      <w:tr w:rsidR="00031B85" w:rsidTr="00031B85">
        <w:trPr>
          <w:trHeight w:val="216"/>
        </w:trPr>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60-64</w:t>
            </w:r>
          </w:p>
        </w:tc>
        <w:tc>
          <w:tcPr>
            <w:tcW w:w="682" w:type="pct"/>
            <w:tcBorders>
              <w:top w:val="nil"/>
              <w:left w:val="nil"/>
              <w:bottom w:val="nil"/>
              <w:right w:val="nil"/>
            </w:tcBorders>
            <w:hideMark/>
          </w:tcPr>
          <w:p w:rsidR="00031B85" w:rsidRDefault="00031B85">
            <w:pPr>
              <w:rPr>
                <w:sz w:val="20"/>
                <w:szCs w:val="20"/>
              </w:rPr>
            </w:pPr>
            <w:r>
              <w:rPr>
                <w:sz w:val="20"/>
                <w:szCs w:val="20"/>
              </w:rPr>
              <w:t>203/427</w:t>
            </w:r>
          </w:p>
        </w:tc>
        <w:tc>
          <w:tcPr>
            <w:tcW w:w="869" w:type="pct"/>
            <w:tcBorders>
              <w:top w:val="nil"/>
              <w:left w:val="nil"/>
              <w:bottom w:val="nil"/>
              <w:right w:val="nil"/>
            </w:tcBorders>
            <w:hideMark/>
          </w:tcPr>
          <w:p w:rsidR="00031B85" w:rsidRDefault="00031B85">
            <w:pPr>
              <w:rPr>
                <w:sz w:val="20"/>
                <w:szCs w:val="20"/>
              </w:rPr>
            </w:pPr>
            <w:r>
              <w:rPr>
                <w:sz w:val="20"/>
                <w:szCs w:val="20"/>
              </w:rPr>
              <w:t>58.2 (53.5-62.9)</w:t>
            </w:r>
          </w:p>
        </w:tc>
        <w:tc>
          <w:tcPr>
            <w:tcW w:w="792" w:type="pct"/>
            <w:tcBorders>
              <w:top w:val="nil"/>
              <w:left w:val="nil"/>
              <w:bottom w:val="nil"/>
              <w:right w:val="nil"/>
            </w:tcBorders>
            <w:hideMark/>
          </w:tcPr>
          <w:p w:rsidR="00031B85" w:rsidRDefault="00031B85">
            <w:pPr>
              <w:rPr>
                <w:sz w:val="20"/>
                <w:szCs w:val="20"/>
              </w:rPr>
            </w:pPr>
            <w:r>
              <w:rPr>
                <w:sz w:val="20"/>
                <w:szCs w:val="20"/>
              </w:rPr>
              <w:t>63.9 (59.4-68.4)</w:t>
            </w:r>
          </w:p>
        </w:tc>
        <w:tc>
          <w:tcPr>
            <w:tcW w:w="792" w:type="pct"/>
            <w:tcBorders>
              <w:top w:val="nil"/>
              <w:left w:val="nil"/>
              <w:bottom w:val="nil"/>
              <w:right w:val="nil"/>
            </w:tcBorders>
            <w:hideMark/>
          </w:tcPr>
          <w:p w:rsidR="00031B85" w:rsidRDefault="00031B85">
            <w:pPr>
              <w:rPr>
                <w:sz w:val="20"/>
                <w:szCs w:val="20"/>
              </w:rPr>
            </w:pPr>
            <w:r>
              <w:rPr>
                <w:sz w:val="20"/>
                <w:szCs w:val="20"/>
              </w:rPr>
              <w:t>5.6 (1.3-9.9)</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65-69</w:t>
            </w:r>
          </w:p>
        </w:tc>
        <w:tc>
          <w:tcPr>
            <w:tcW w:w="682" w:type="pct"/>
            <w:tcBorders>
              <w:top w:val="nil"/>
              <w:left w:val="nil"/>
              <w:bottom w:val="nil"/>
              <w:right w:val="nil"/>
            </w:tcBorders>
            <w:hideMark/>
          </w:tcPr>
          <w:p w:rsidR="00031B85" w:rsidRDefault="00031B85">
            <w:pPr>
              <w:rPr>
                <w:sz w:val="20"/>
                <w:szCs w:val="20"/>
              </w:rPr>
            </w:pPr>
            <w:r>
              <w:rPr>
                <w:sz w:val="20"/>
                <w:szCs w:val="20"/>
              </w:rPr>
              <w:t>135/286</w:t>
            </w:r>
          </w:p>
        </w:tc>
        <w:tc>
          <w:tcPr>
            <w:tcW w:w="869" w:type="pct"/>
            <w:tcBorders>
              <w:top w:val="nil"/>
              <w:left w:val="nil"/>
              <w:bottom w:val="nil"/>
              <w:right w:val="nil"/>
            </w:tcBorders>
            <w:hideMark/>
          </w:tcPr>
          <w:p w:rsidR="00031B85" w:rsidRDefault="00031B85">
            <w:pPr>
              <w:rPr>
                <w:sz w:val="20"/>
                <w:szCs w:val="20"/>
              </w:rPr>
            </w:pPr>
            <w:r>
              <w:rPr>
                <w:sz w:val="20"/>
                <w:szCs w:val="20"/>
              </w:rPr>
              <w:t>58.4 (52.5-64.3)</w:t>
            </w:r>
          </w:p>
        </w:tc>
        <w:tc>
          <w:tcPr>
            <w:tcW w:w="792" w:type="pct"/>
            <w:tcBorders>
              <w:top w:val="nil"/>
              <w:left w:val="nil"/>
              <w:bottom w:val="nil"/>
              <w:right w:val="nil"/>
            </w:tcBorders>
            <w:hideMark/>
          </w:tcPr>
          <w:p w:rsidR="00031B85" w:rsidRDefault="00031B85">
            <w:pPr>
              <w:rPr>
                <w:sz w:val="20"/>
                <w:szCs w:val="20"/>
              </w:rPr>
            </w:pPr>
            <w:r>
              <w:rPr>
                <w:sz w:val="20"/>
                <w:szCs w:val="20"/>
              </w:rPr>
              <w:t>65.7 (60.2-71.2)</w:t>
            </w:r>
          </w:p>
        </w:tc>
        <w:tc>
          <w:tcPr>
            <w:tcW w:w="792" w:type="pct"/>
            <w:tcBorders>
              <w:top w:val="nil"/>
              <w:left w:val="nil"/>
              <w:bottom w:val="nil"/>
              <w:right w:val="nil"/>
            </w:tcBorders>
            <w:hideMark/>
          </w:tcPr>
          <w:p w:rsidR="00031B85" w:rsidRDefault="00031B85">
            <w:pPr>
              <w:rPr>
                <w:sz w:val="20"/>
                <w:szCs w:val="20"/>
              </w:rPr>
            </w:pPr>
            <w:r>
              <w:rPr>
                <w:sz w:val="20"/>
                <w:szCs w:val="20"/>
              </w:rPr>
              <w:t>7.3 (2.2-12.4)</w:t>
            </w:r>
          </w:p>
        </w:tc>
      </w:tr>
      <w:tr w:rsidR="00031B85" w:rsidTr="00031B85">
        <w:tc>
          <w:tcPr>
            <w:tcW w:w="1865" w:type="pct"/>
            <w:tcBorders>
              <w:top w:val="nil"/>
              <w:left w:val="nil"/>
              <w:bottom w:val="single" w:sz="4" w:space="0" w:color="auto"/>
              <w:right w:val="nil"/>
            </w:tcBorders>
          </w:tcPr>
          <w:p w:rsidR="00031B85" w:rsidRDefault="00031B85">
            <w:pPr>
              <w:rPr>
                <w:sz w:val="20"/>
                <w:szCs w:val="20"/>
              </w:rPr>
            </w:pPr>
          </w:p>
        </w:tc>
        <w:tc>
          <w:tcPr>
            <w:tcW w:w="682" w:type="pct"/>
            <w:tcBorders>
              <w:top w:val="nil"/>
              <w:left w:val="nil"/>
              <w:bottom w:val="single" w:sz="4" w:space="0" w:color="auto"/>
              <w:right w:val="nil"/>
            </w:tcBorders>
            <w:hideMark/>
          </w:tcPr>
          <w:p w:rsidR="00031B85" w:rsidRDefault="00031B85">
            <w:pPr>
              <w:rPr>
                <w:sz w:val="20"/>
                <w:szCs w:val="20"/>
              </w:rPr>
            </w:pPr>
            <w:r>
              <w:rPr>
                <w:sz w:val="20"/>
                <w:szCs w:val="20"/>
              </w:rPr>
              <w:t>653/1,336</w:t>
            </w:r>
            <w:r>
              <w:rPr>
                <w:rFonts w:cs="Arial"/>
                <w:sz w:val="20"/>
                <w:szCs w:val="20"/>
              </w:rPr>
              <w:t>†</w:t>
            </w:r>
          </w:p>
        </w:tc>
        <w:tc>
          <w:tcPr>
            <w:tcW w:w="869" w:type="pct"/>
            <w:tcBorders>
              <w:top w:val="nil"/>
              <w:left w:val="nil"/>
              <w:bottom w:val="single" w:sz="4" w:space="0" w:color="auto"/>
              <w:right w:val="nil"/>
            </w:tcBorders>
            <w:hideMark/>
          </w:tcPr>
          <w:p w:rsidR="00031B85" w:rsidRDefault="00031B85">
            <w:pPr>
              <w:rPr>
                <w:sz w:val="20"/>
                <w:szCs w:val="20"/>
              </w:rPr>
            </w:pPr>
            <w:r>
              <w:rPr>
                <w:sz w:val="20"/>
                <w:szCs w:val="20"/>
              </w:rPr>
              <w:t>61.1 (58.6-63.6)</w:t>
            </w:r>
          </w:p>
        </w:tc>
        <w:tc>
          <w:tcPr>
            <w:tcW w:w="792" w:type="pct"/>
            <w:tcBorders>
              <w:top w:val="nil"/>
              <w:left w:val="nil"/>
              <w:bottom w:val="single" w:sz="4" w:space="0" w:color="auto"/>
              <w:right w:val="nil"/>
            </w:tcBorders>
            <w:hideMark/>
          </w:tcPr>
          <w:p w:rsidR="00031B85" w:rsidRDefault="00031B85">
            <w:pPr>
              <w:rPr>
                <w:sz w:val="20"/>
                <w:szCs w:val="20"/>
              </w:rPr>
            </w:pPr>
            <w:r>
              <w:rPr>
                <w:sz w:val="20"/>
                <w:szCs w:val="20"/>
              </w:rPr>
              <w:t>67.4 (64.9-69.9)</w:t>
            </w:r>
          </w:p>
        </w:tc>
        <w:tc>
          <w:tcPr>
            <w:tcW w:w="792" w:type="pct"/>
            <w:tcBorders>
              <w:top w:val="nil"/>
              <w:left w:val="nil"/>
              <w:bottom w:val="single" w:sz="4" w:space="0" w:color="auto"/>
              <w:right w:val="nil"/>
            </w:tcBorders>
            <w:hideMark/>
          </w:tcPr>
          <w:p w:rsidR="00031B85" w:rsidRDefault="00031B85">
            <w:pPr>
              <w:rPr>
                <w:sz w:val="20"/>
                <w:szCs w:val="20"/>
              </w:rPr>
            </w:pPr>
            <w:r>
              <w:rPr>
                <w:sz w:val="20"/>
                <w:szCs w:val="20"/>
              </w:rPr>
              <w:t>6.2 (3.8-8.6)</w:t>
            </w:r>
          </w:p>
        </w:tc>
      </w:tr>
      <w:tr w:rsidR="00031B85" w:rsidTr="00031B85">
        <w:tc>
          <w:tcPr>
            <w:tcW w:w="1865" w:type="pct"/>
            <w:tcBorders>
              <w:top w:val="single" w:sz="4" w:space="0" w:color="auto"/>
              <w:left w:val="nil"/>
              <w:bottom w:val="nil"/>
              <w:right w:val="nil"/>
            </w:tcBorders>
            <w:hideMark/>
          </w:tcPr>
          <w:p w:rsidR="00031B85" w:rsidRDefault="00031B85">
            <w:pPr>
              <w:rPr>
                <w:b/>
                <w:sz w:val="20"/>
                <w:szCs w:val="20"/>
              </w:rPr>
            </w:pPr>
            <w:r>
              <w:rPr>
                <w:b/>
                <w:sz w:val="20"/>
                <w:szCs w:val="20"/>
              </w:rPr>
              <w:t>Postmenopausal women using HT</w:t>
            </w:r>
          </w:p>
        </w:tc>
        <w:tc>
          <w:tcPr>
            <w:tcW w:w="682" w:type="pct"/>
            <w:tcBorders>
              <w:top w:val="single" w:sz="4" w:space="0" w:color="auto"/>
              <w:left w:val="nil"/>
              <w:bottom w:val="nil"/>
              <w:right w:val="nil"/>
            </w:tcBorders>
          </w:tcPr>
          <w:p w:rsidR="00031B85" w:rsidRDefault="00031B85">
            <w:pPr>
              <w:rPr>
                <w:sz w:val="20"/>
                <w:szCs w:val="20"/>
              </w:rPr>
            </w:pPr>
          </w:p>
        </w:tc>
        <w:tc>
          <w:tcPr>
            <w:tcW w:w="869" w:type="pct"/>
            <w:tcBorders>
              <w:top w:val="single" w:sz="4" w:space="0" w:color="auto"/>
              <w:left w:val="nil"/>
              <w:bottom w:val="nil"/>
              <w:right w:val="nil"/>
            </w:tcBorders>
          </w:tcPr>
          <w:p w:rsidR="00031B85" w:rsidRDefault="00031B85">
            <w:pPr>
              <w:rPr>
                <w:sz w:val="20"/>
                <w:szCs w:val="20"/>
              </w:rPr>
            </w:pPr>
          </w:p>
        </w:tc>
        <w:tc>
          <w:tcPr>
            <w:tcW w:w="792" w:type="pct"/>
            <w:tcBorders>
              <w:top w:val="single" w:sz="4" w:space="0" w:color="auto"/>
              <w:left w:val="nil"/>
              <w:bottom w:val="nil"/>
              <w:right w:val="nil"/>
            </w:tcBorders>
          </w:tcPr>
          <w:p w:rsidR="00031B85" w:rsidRDefault="00031B85">
            <w:pPr>
              <w:rPr>
                <w:sz w:val="20"/>
                <w:szCs w:val="20"/>
              </w:rPr>
            </w:pPr>
          </w:p>
        </w:tc>
        <w:tc>
          <w:tcPr>
            <w:tcW w:w="792" w:type="pct"/>
            <w:tcBorders>
              <w:top w:val="single" w:sz="4" w:space="0" w:color="auto"/>
              <w:left w:val="nil"/>
              <w:bottom w:val="nil"/>
              <w:right w:val="nil"/>
            </w:tcBorders>
          </w:tcPr>
          <w:p w:rsidR="00031B85" w:rsidRDefault="00031B85">
            <w:pPr>
              <w:rPr>
                <w:sz w:val="20"/>
                <w:szCs w:val="20"/>
              </w:rPr>
            </w:pP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&lt;45</w:t>
            </w:r>
          </w:p>
        </w:tc>
        <w:tc>
          <w:tcPr>
            <w:tcW w:w="682" w:type="pct"/>
            <w:tcBorders>
              <w:top w:val="nil"/>
              <w:left w:val="nil"/>
              <w:bottom w:val="nil"/>
              <w:right w:val="nil"/>
            </w:tcBorders>
            <w:hideMark/>
          </w:tcPr>
          <w:p w:rsidR="00031B85" w:rsidRDefault="00031B85">
            <w:pPr>
              <w:rPr>
                <w:sz w:val="20"/>
                <w:szCs w:val="20"/>
              </w:rPr>
            </w:pPr>
            <w:r>
              <w:rPr>
                <w:sz w:val="20"/>
                <w:szCs w:val="20"/>
              </w:rPr>
              <w:t>27/93</w:t>
            </w:r>
          </w:p>
        </w:tc>
        <w:tc>
          <w:tcPr>
            <w:tcW w:w="869" w:type="pct"/>
            <w:tcBorders>
              <w:top w:val="nil"/>
              <w:left w:val="nil"/>
              <w:bottom w:val="nil"/>
              <w:right w:val="nil"/>
            </w:tcBorders>
            <w:hideMark/>
          </w:tcPr>
          <w:p w:rsidR="00031B85" w:rsidRDefault="00031B85">
            <w:pPr>
              <w:rPr>
                <w:sz w:val="20"/>
                <w:szCs w:val="20"/>
              </w:rPr>
            </w:pPr>
            <w:r>
              <w:rPr>
                <w:sz w:val="20"/>
                <w:szCs w:val="20"/>
              </w:rPr>
              <w:t>71.0 (60.0-82.0)</w:t>
            </w:r>
          </w:p>
        </w:tc>
        <w:tc>
          <w:tcPr>
            <w:tcW w:w="792" w:type="pct"/>
            <w:tcBorders>
              <w:top w:val="nil"/>
              <w:left w:val="nil"/>
              <w:bottom w:val="nil"/>
              <w:right w:val="nil"/>
            </w:tcBorders>
            <w:hideMark/>
          </w:tcPr>
          <w:p w:rsidR="00031B85" w:rsidRDefault="00031B85">
            <w:pPr>
              <w:rPr>
                <w:sz w:val="20"/>
                <w:szCs w:val="20"/>
              </w:rPr>
            </w:pPr>
            <w:r>
              <w:rPr>
                <w:sz w:val="20"/>
                <w:szCs w:val="20"/>
              </w:rPr>
              <w:t>75.0 (64.6-85.4)</w:t>
            </w:r>
          </w:p>
        </w:tc>
        <w:tc>
          <w:tcPr>
            <w:tcW w:w="792" w:type="pct"/>
            <w:tcBorders>
              <w:top w:val="nil"/>
              <w:left w:val="nil"/>
              <w:bottom w:val="nil"/>
              <w:right w:val="nil"/>
            </w:tcBorders>
            <w:hideMark/>
          </w:tcPr>
          <w:p w:rsidR="00031B85" w:rsidRDefault="00031B85">
            <w:pPr>
              <w:rPr>
                <w:sz w:val="20"/>
                <w:szCs w:val="20"/>
              </w:rPr>
            </w:pPr>
            <w:r>
              <w:rPr>
                <w:sz w:val="20"/>
                <w:szCs w:val="20"/>
              </w:rPr>
              <w:t>4.0 (-7.6-15.6)</w:t>
            </w:r>
          </w:p>
        </w:tc>
      </w:tr>
      <w:tr w:rsidR="00031B85" w:rsidTr="00031B85">
        <w:tc>
          <w:tcPr>
            <w:tcW w:w="1865" w:type="pct"/>
            <w:tcBorders>
              <w:top w:val="nil"/>
              <w:left w:val="nil"/>
              <w:bottom w:val="nil"/>
              <w:right w:val="nil"/>
            </w:tcBorders>
            <w:vAlign w:val="center"/>
            <w:hideMark/>
          </w:tcPr>
          <w:p w:rsidR="00031B85" w:rsidRDefault="00031B85">
            <w:pPr>
              <w:jc w:val="right"/>
              <w:rPr>
                <w:rFonts w:cs="Arial"/>
                <w:sz w:val="20"/>
                <w:szCs w:val="22"/>
              </w:rPr>
            </w:pPr>
            <w:r>
              <w:rPr>
                <w:rFonts w:cs="Arial"/>
                <w:sz w:val="20"/>
              </w:rPr>
              <w:t>45-49</w:t>
            </w:r>
          </w:p>
        </w:tc>
        <w:tc>
          <w:tcPr>
            <w:tcW w:w="682" w:type="pct"/>
            <w:tcBorders>
              <w:top w:val="nil"/>
              <w:left w:val="nil"/>
              <w:bottom w:val="nil"/>
              <w:right w:val="nil"/>
            </w:tcBorders>
            <w:hideMark/>
          </w:tcPr>
          <w:p w:rsidR="00031B85" w:rsidRDefault="00031B85">
            <w:pPr>
              <w:rPr>
                <w:sz w:val="20"/>
                <w:szCs w:val="20"/>
              </w:rPr>
            </w:pPr>
            <w:r>
              <w:rPr>
                <w:sz w:val="20"/>
                <w:szCs w:val="20"/>
              </w:rPr>
              <w:t>115/330</w:t>
            </w:r>
          </w:p>
        </w:tc>
        <w:tc>
          <w:tcPr>
            <w:tcW w:w="869" w:type="pct"/>
            <w:tcBorders>
              <w:top w:val="nil"/>
              <w:left w:val="nil"/>
              <w:bottom w:val="nil"/>
              <w:right w:val="nil"/>
            </w:tcBorders>
            <w:hideMark/>
          </w:tcPr>
          <w:p w:rsidR="00031B85" w:rsidRDefault="00031B85">
            <w:pPr>
              <w:rPr>
                <w:sz w:val="20"/>
                <w:szCs w:val="20"/>
              </w:rPr>
            </w:pPr>
            <w:r>
              <w:rPr>
                <w:sz w:val="20"/>
                <w:szCs w:val="20"/>
              </w:rPr>
              <w:t>69.6 (64.1-75.1)</w:t>
            </w:r>
          </w:p>
        </w:tc>
        <w:tc>
          <w:tcPr>
            <w:tcW w:w="792" w:type="pct"/>
            <w:tcBorders>
              <w:top w:val="nil"/>
              <w:left w:val="nil"/>
              <w:bottom w:val="nil"/>
              <w:right w:val="nil"/>
            </w:tcBorders>
            <w:hideMark/>
          </w:tcPr>
          <w:p w:rsidR="00031B85" w:rsidRDefault="00031B85">
            <w:pPr>
              <w:rPr>
                <w:sz w:val="20"/>
                <w:szCs w:val="20"/>
              </w:rPr>
            </w:pPr>
            <w:r>
              <w:rPr>
                <w:sz w:val="20"/>
                <w:szCs w:val="20"/>
              </w:rPr>
              <w:t>75.4 (70.3-80.5)</w:t>
            </w:r>
          </w:p>
        </w:tc>
        <w:tc>
          <w:tcPr>
            <w:tcW w:w="792" w:type="pct"/>
            <w:tcBorders>
              <w:top w:val="nil"/>
              <w:left w:val="nil"/>
              <w:bottom w:val="nil"/>
              <w:right w:val="nil"/>
            </w:tcBorders>
            <w:hideMark/>
          </w:tcPr>
          <w:p w:rsidR="00031B85" w:rsidRDefault="00031B85">
            <w:pPr>
              <w:rPr>
                <w:sz w:val="20"/>
                <w:szCs w:val="20"/>
              </w:rPr>
            </w:pPr>
            <w:r>
              <w:rPr>
                <w:sz w:val="20"/>
                <w:szCs w:val="20"/>
              </w:rPr>
              <w:t>5.7 (0.2-11.2)</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50-54</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182/320</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63.8 (58.7-68.9)</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70.6 (65.9-75.3)</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6.8 (1.9-11.7)</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55-59</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221/272</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59.7 (54.6-64.8)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66.1 (61.4-70.8)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6.4 (1.9-10.9)</w:t>
            </w:r>
          </w:p>
        </w:tc>
      </w:tr>
      <w:tr w:rsidR="00031B85" w:rsidTr="00031B85">
        <w:trPr>
          <w:trHeight w:val="216"/>
        </w:trPr>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60-64</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190/228</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60.2 (54.7-65.7)</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69.5 (64.4-74.6)</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9.3 (4.6-14.0)</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65-69</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124/164</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61.6 (55.1-68.1)</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65.2 (58.9-71.5)</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3.6 (-2.1-9.3)</w:t>
            </w:r>
          </w:p>
        </w:tc>
      </w:tr>
      <w:tr w:rsidR="00031B85" w:rsidTr="00031B85">
        <w:tc>
          <w:tcPr>
            <w:tcW w:w="1865" w:type="pct"/>
            <w:tcBorders>
              <w:top w:val="nil"/>
              <w:left w:val="nil"/>
              <w:bottom w:val="single" w:sz="4" w:space="0" w:color="auto"/>
              <w:right w:val="nil"/>
            </w:tcBorders>
            <w:shd w:val="clear" w:color="auto" w:fill="FFFFFF" w:themeFill="background1"/>
            <w:vAlign w:val="center"/>
          </w:tcPr>
          <w:p w:rsidR="00031B85" w:rsidRDefault="00031B85">
            <w:pPr>
              <w:jc w:val="right"/>
              <w:rPr>
                <w:rFonts w:cs="Arial"/>
                <w:sz w:val="20"/>
                <w:szCs w:val="22"/>
              </w:rPr>
            </w:pPr>
          </w:p>
        </w:tc>
        <w:tc>
          <w:tcPr>
            <w:tcW w:w="68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859/1,407</w:t>
            </w:r>
            <w:r>
              <w:rPr>
                <w:rFonts w:cs="Arial"/>
                <w:sz w:val="20"/>
                <w:szCs w:val="20"/>
              </w:rPr>
              <w:t>†</w:t>
            </w:r>
          </w:p>
        </w:tc>
        <w:tc>
          <w:tcPr>
            <w:tcW w:w="869"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63.3 (60.9-65.7)</w:t>
            </w:r>
          </w:p>
        </w:tc>
        <w:tc>
          <w:tcPr>
            <w:tcW w:w="79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69.9 (67.7-72.1)</w:t>
            </w:r>
          </w:p>
        </w:tc>
        <w:tc>
          <w:tcPr>
            <w:tcW w:w="79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6.5 (4.3-8.7)</w:t>
            </w:r>
          </w:p>
        </w:tc>
      </w:tr>
      <w:tr w:rsidR="00031B85" w:rsidTr="00031B85">
        <w:trPr>
          <w:gridAfter w:val="4"/>
          <w:wAfter w:w="3135" w:type="pct"/>
        </w:trPr>
        <w:tc>
          <w:tcPr>
            <w:tcW w:w="1865" w:type="pct"/>
            <w:tcBorders>
              <w:top w:val="single" w:sz="4" w:space="0" w:color="auto"/>
              <w:left w:val="nil"/>
              <w:bottom w:val="nil"/>
              <w:right w:val="nil"/>
            </w:tcBorders>
            <w:shd w:val="clear" w:color="auto" w:fill="FFFFFF" w:themeFill="background1"/>
            <w:hideMark/>
          </w:tcPr>
          <w:p w:rsidR="00031B85" w:rsidRDefault="00031B85">
            <w:pPr>
              <w:rPr>
                <w:b/>
                <w:sz w:val="20"/>
                <w:szCs w:val="20"/>
              </w:rPr>
            </w:pPr>
            <w:r>
              <w:rPr>
                <w:b/>
                <w:sz w:val="20"/>
                <w:szCs w:val="20"/>
              </w:rPr>
              <w:t>All women</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&lt;40</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98/325</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52.3 (45.8-58.8)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66.7 (60.6-72.8)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14.4 (7.0-21.8)</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40-44</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362/1,024</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62.3 (59.0-65.6)</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64.3 (61.0-67.6)</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2.1 (-1.6-5.8)</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lastRenderedPageBreak/>
              <w:t>45-49</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673/1,597</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61.9 (59.4-64.4)</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69.0 (66.6-71.4)</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7.1 (4.6-9.6)</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50-54</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468/793</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65.0 (61.9-68.1)</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69.9 (67.0-72.8)</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4.9 (2.2-7.6)</w:t>
            </w:r>
          </w:p>
        </w:tc>
      </w:tr>
      <w:tr w:rsidR="00031B85" w:rsidTr="00031B85">
        <w:trPr>
          <w:trHeight w:val="216"/>
        </w:trPr>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55-59</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423/640</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61.0 (57.5-64.5)</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67.4 (64.1-70.7)</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6.5 (3.6-9.4)</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60-64</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393/655</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60.8 (57.3-64.3)</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67.7 (64.4-71.0)</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6.9 (4.0-9.8)</w:t>
            </w:r>
          </w:p>
        </w:tc>
      </w:tr>
      <w:tr w:rsidR="00031B85" w:rsidTr="00031B85">
        <w:tc>
          <w:tcPr>
            <w:tcW w:w="1865" w:type="pct"/>
            <w:tcBorders>
              <w:top w:val="nil"/>
              <w:left w:val="nil"/>
              <w:bottom w:val="nil"/>
              <w:right w:val="nil"/>
            </w:tcBorders>
            <w:shd w:val="clear" w:color="auto" w:fill="FFFFFF" w:themeFill="background1"/>
            <w:vAlign w:val="center"/>
            <w:hideMark/>
          </w:tcPr>
          <w:p w:rsidR="00031B85" w:rsidRDefault="00031B85">
            <w:pPr>
              <w:jc w:val="right"/>
              <w:rPr>
                <w:rFonts w:cs="Arial"/>
                <w:sz w:val="20"/>
                <w:szCs w:val="22"/>
              </w:rPr>
            </w:pPr>
            <w:r>
              <w:rPr>
                <w:rFonts w:cs="Arial"/>
                <w:sz w:val="20"/>
              </w:rPr>
              <w:t>65-69</w:t>
            </w:r>
          </w:p>
        </w:tc>
        <w:tc>
          <w:tcPr>
            <w:tcW w:w="68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259/450</w:t>
            </w:r>
          </w:p>
        </w:tc>
        <w:tc>
          <w:tcPr>
            <w:tcW w:w="869"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61.2 (56.9-65.5)</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67.1 (63.0-71.2)</w:t>
            </w:r>
          </w:p>
        </w:tc>
        <w:tc>
          <w:tcPr>
            <w:tcW w:w="792" w:type="pct"/>
            <w:tcBorders>
              <w:top w:val="nil"/>
              <w:left w:val="nil"/>
              <w:bottom w:val="nil"/>
              <w:right w:val="nil"/>
            </w:tcBorders>
            <w:shd w:val="clear" w:color="auto" w:fill="FFFFFF" w:themeFill="background1"/>
            <w:hideMark/>
          </w:tcPr>
          <w:p w:rsidR="00031B85" w:rsidRDefault="00031B85">
            <w:pPr>
              <w:rPr>
                <w:sz w:val="20"/>
                <w:szCs w:val="20"/>
              </w:rPr>
            </w:pPr>
            <w:r>
              <w:rPr>
                <w:sz w:val="20"/>
                <w:szCs w:val="20"/>
              </w:rPr>
              <w:t>5.9 (2.4-9.4)</w:t>
            </w:r>
          </w:p>
        </w:tc>
      </w:tr>
      <w:tr w:rsidR="00031B85" w:rsidTr="00031B85">
        <w:tc>
          <w:tcPr>
            <w:tcW w:w="1865" w:type="pct"/>
            <w:tcBorders>
              <w:top w:val="nil"/>
              <w:left w:val="nil"/>
              <w:bottom w:val="single" w:sz="4" w:space="0" w:color="auto"/>
              <w:right w:val="nil"/>
            </w:tcBorders>
            <w:shd w:val="clear" w:color="auto" w:fill="FFFFFF" w:themeFill="background1"/>
            <w:vAlign w:val="center"/>
          </w:tcPr>
          <w:p w:rsidR="00031B85" w:rsidRDefault="00031B85">
            <w:pPr>
              <w:jc w:val="right"/>
              <w:rPr>
                <w:rFonts w:cs="Arial"/>
                <w:sz w:val="20"/>
                <w:szCs w:val="22"/>
              </w:rPr>
            </w:pPr>
          </w:p>
        </w:tc>
        <w:tc>
          <w:tcPr>
            <w:tcW w:w="68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2,676/5,484</w:t>
            </w:r>
            <w:r>
              <w:rPr>
                <w:rFonts w:cs="Arial"/>
                <w:sz w:val="20"/>
                <w:szCs w:val="20"/>
              </w:rPr>
              <w:t>†</w:t>
            </w:r>
          </w:p>
        </w:tc>
        <w:tc>
          <w:tcPr>
            <w:tcW w:w="869"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61.8 (60.4-63.2)</w:t>
            </w:r>
          </w:p>
        </w:tc>
        <w:tc>
          <w:tcPr>
            <w:tcW w:w="79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67.8 (66.6-69.0)</w:t>
            </w:r>
          </w:p>
        </w:tc>
        <w:tc>
          <w:tcPr>
            <w:tcW w:w="792" w:type="pct"/>
            <w:tcBorders>
              <w:top w:val="nil"/>
              <w:left w:val="nil"/>
              <w:bottom w:val="single" w:sz="4" w:space="0" w:color="auto"/>
              <w:right w:val="nil"/>
            </w:tcBorders>
            <w:shd w:val="clear" w:color="auto" w:fill="FFFFFF" w:themeFill="background1"/>
            <w:hideMark/>
          </w:tcPr>
          <w:p w:rsidR="00031B85" w:rsidRDefault="00031B85">
            <w:pPr>
              <w:rPr>
                <w:sz w:val="20"/>
                <w:szCs w:val="20"/>
              </w:rPr>
            </w:pPr>
            <w:r>
              <w:rPr>
                <w:sz w:val="20"/>
                <w:szCs w:val="20"/>
              </w:rPr>
              <w:t>6.1 (4.9-7.3)</w:t>
            </w:r>
          </w:p>
        </w:tc>
      </w:tr>
    </w:tbl>
    <w:bookmarkEnd w:id="2"/>
    <w:p w:rsidR="00031B85" w:rsidRDefault="00031B85" w:rsidP="00031B85">
      <w:pPr>
        <w:rPr>
          <w:sz w:val="18"/>
        </w:rPr>
      </w:pPr>
      <w:r>
        <w:rPr>
          <w:sz w:val="18"/>
        </w:rPr>
        <w:t>*These are “baseline” AUC of the Rosner-Colditz model without any of the biomarkers included. Some of the changes in AUC did not match exactly due to rounding.</w:t>
      </w:r>
    </w:p>
    <w:p w:rsidR="00031B85" w:rsidRDefault="00031B85" w:rsidP="00031B85">
      <w:pPr>
        <w:rPr>
          <w:sz w:val="18"/>
        </w:rPr>
      </w:pPr>
      <w:r>
        <w:rPr>
          <w:sz w:val="18"/>
        </w:rPr>
        <w:t xml:space="preserve">**For the full model, postmenopausal women, we included PRS and MD for the premenopausal women, PRS, MD, T, E1S, PRL for the postmenopausal women not using HT, and PRS, MD and PRL for the postmenopausal women using HT. PRS, MD, and circulating hormones were modeled as continuous variables. </w:t>
      </w:r>
    </w:p>
    <w:p w:rsidR="001951C6" w:rsidRDefault="00031B85" w:rsidP="00031B85">
      <w:r>
        <w:rPr>
          <w:rFonts w:cs="Arial"/>
          <w:sz w:val="18"/>
          <w:szCs w:val="18"/>
        </w:rPr>
        <w:t>†: We conducted a meta-analyses of the age-adjusted AUCs to remove the effect of age.</w:t>
      </w:r>
      <w:bookmarkStart w:id="3" w:name="_GoBack"/>
      <w:bookmarkEnd w:id="3"/>
    </w:p>
    <w:sectPr w:rsidR="00195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85"/>
    <w:rsid w:val="00031B85"/>
    <w:rsid w:val="0019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31D46-644C-4C06-A9C2-9B23605E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B85"/>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1B85"/>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78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2018-07-23T22:04:00Z</dcterms:created>
  <dcterms:modified xsi:type="dcterms:W3CDTF">2018-07-23T22:04:00Z</dcterms:modified>
</cp:coreProperties>
</file>